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B0C" w:rsidRDefault="003A7B0C">
      <w:pPr>
        <w:jc w:val="center"/>
        <w:rPr>
          <w:rFonts w:ascii="宋体" w:eastAsia="宋体" w:hAnsi="宋体" w:cs="宋体"/>
          <w:b/>
          <w:color w:val="000000" w:themeColor="text1"/>
          <w:sz w:val="22"/>
        </w:rPr>
      </w:pPr>
    </w:p>
    <w:p w:rsidR="003A7B0C" w:rsidRDefault="003A7B0C">
      <w:pPr>
        <w:spacing w:line="560" w:lineRule="exact"/>
        <w:rPr>
          <w:rFonts w:ascii="仿宋" w:eastAsia="仿宋" w:hAnsi="仿宋" w:cs="仿宋"/>
          <w:sz w:val="32"/>
          <w:szCs w:val="32"/>
        </w:rPr>
      </w:pPr>
    </w:p>
    <w:p w:rsidR="003A7B0C" w:rsidRDefault="00126ED1">
      <w:pPr>
        <w:spacing w:line="560" w:lineRule="exact"/>
        <w:jc w:val="center"/>
        <w:rPr>
          <w:rFonts w:ascii="仿宋" w:eastAsia="仿宋" w:hAnsi="仿宋" w:cs="仿宋"/>
          <w:sz w:val="44"/>
          <w:szCs w:val="36"/>
        </w:rPr>
      </w:pPr>
      <w:r>
        <w:rPr>
          <w:rFonts w:ascii="仿宋" w:eastAsia="仿宋" w:hAnsi="仿宋" w:cs="仿宋" w:hint="eastAsia"/>
          <w:sz w:val="44"/>
          <w:szCs w:val="36"/>
        </w:rPr>
        <w:t>江苏省危险废物经营许可证申请书</w:t>
      </w:r>
    </w:p>
    <w:p w:rsidR="003A7B0C" w:rsidRDefault="003A7B0C">
      <w:pPr>
        <w:jc w:val="center"/>
        <w:rPr>
          <w:rFonts w:ascii="仿宋" w:eastAsia="仿宋" w:hAnsi="仿宋" w:cs="仿宋"/>
          <w:sz w:val="52"/>
        </w:rPr>
      </w:pPr>
    </w:p>
    <w:p w:rsidR="003A7B0C" w:rsidRDefault="003A7B0C">
      <w:pPr>
        <w:jc w:val="center"/>
        <w:rPr>
          <w:rFonts w:ascii="仿宋" w:eastAsia="仿宋" w:hAnsi="仿宋" w:cs="仿宋"/>
          <w:sz w:val="52"/>
        </w:rPr>
      </w:pPr>
    </w:p>
    <w:p w:rsidR="003A7B0C" w:rsidRDefault="003A7B0C">
      <w:pPr>
        <w:rPr>
          <w:rFonts w:ascii="仿宋" w:eastAsia="仿宋" w:hAnsi="仿宋" w:cs="仿宋"/>
        </w:rPr>
      </w:pPr>
    </w:p>
    <w:p w:rsidR="003A7B0C" w:rsidRDefault="003A7B0C">
      <w:pPr>
        <w:rPr>
          <w:rFonts w:ascii="仿宋" w:eastAsia="仿宋" w:hAnsi="仿宋" w:cs="仿宋"/>
        </w:rPr>
      </w:pPr>
    </w:p>
    <w:p w:rsidR="003A7B0C" w:rsidRDefault="003A7B0C">
      <w:pPr>
        <w:rPr>
          <w:rFonts w:ascii="仿宋" w:eastAsia="仿宋" w:hAnsi="仿宋" w:cs="仿宋"/>
        </w:rPr>
      </w:pPr>
    </w:p>
    <w:p w:rsidR="003A7B0C" w:rsidRDefault="003A7B0C">
      <w:pPr>
        <w:rPr>
          <w:rFonts w:ascii="仿宋" w:eastAsia="仿宋" w:hAnsi="仿宋" w:cs="仿宋"/>
        </w:rPr>
      </w:pPr>
    </w:p>
    <w:p w:rsidR="003A7B0C" w:rsidRDefault="003A7B0C">
      <w:pPr>
        <w:rPr>
          <w:rFonts w:ascii="仿宋" w:eastAsia="仿宋" w:hAnsi="仿宋" w:cs="仿宋"/>
        </w:rPr>
      </w:pPr>
    </w:p>
    <w:p w:rsidR="003A7B0C" w:rsidRDefault="00126ED1">
      <w:pPr>
        <w:autoSpaceDE w:val="0"/>
        <w:spacing w:line="840" w:lineRule="auto"/>
        <w:rPr>
          <w:rFonts w:ascii="仿宋" w:eastAsia="仿宋" w:hAnsi="仿宋" w:cs="仿宋"/>
          <w:sz w:val="32"/>
        </w:rPr>
      </w:pPr>
      <w:r>
        <w:rPr>
          <w:rFonts w:ascii="仿宋" w:eastAsia="仿宋" w:hAnsi="仿宋" w:cs="仿宋" w:hint="eastAsia"/>
          <w:sz w:val="32"/>
        </w:rPr>
        <w:t xml:space="preserve">      申请单位名称</w:t>
      </w:r>
      <w:r>
        <w:rPr>
          <w:rFonts w:ascii="仿宋" w:eastAsia="仿宋" w:hAnsi="仿宋" w:cs="仿宋" w:hint="eastAsia"/>
          <w:sz w:val="2"/>
          <w:szCs w:val="2"/>
        </w:rPr>
        <w:t>U</w:t>
      </w:r>
      <w:r>
        <w:rPr>
          <w:rFonts w:ascii="仿宋" w:eastAsia="仿宋" w:hAnsi="仿宋" w:cs="仿宋" w:hint="eastAsia"/>
          <w:sz w:val="32"/>
          <w:u w:val="single"/>
        </w:rPr>
        <w:t xml:space="preserve"> </w:t>
      </w:r>
      <w:r>
        <w:rPr>
          <w:rFonts w:ascii="仿宋" w:eastAsia="仿宋" w:hAnsi="仿宋" w:cs="仿宋" w:hint="eastAsia"/>
          <w:sz w:val="28"/>
          <w:szCs w:val="24"/>
          <w:u w:val="single"/>
        </w:rPr>
        <w:t>江苏鸿晖环保再生资源利用有限公司</w:t>
      </w:r>
      <w:r>
        <w:rPr>
          <w:rFonts w:ascii="仿宋" w:eastAsia="仿宋" w:hAnsi="仿宋" w:cs="仿宋" w:hint="eastAsia"/>
          <w:sz w:val="32"/>
          <w:u w:val="single"/>
        </w:rPr>
        <w:t xml:space="preserve"> </w:t>
      </w:r>
      <w:r>
        <w:rPr>
          <w:rFonts w:ascii="仿宋" w:eastAsia="仿宋" w:hAnsi="仿宋" w:cs="仿宋" w:hint="eastAsia"/>
          <w:sz w:val="2"/>
          <w:szCs w:val="2"/>
        </w:rPr>
        <w:t>U</w:t>
      </w:r>
      <w:r>
        <w:rPr>
          <w:rFonts w:ascii="仿宋" w:eastAsia="仿宋" w:hAnsi="仿宋" w:cs="仿宋" w:hint="eastAsia"/>
          <w:sz w:val="32"/>
        </w:rPr>
        <w:t>(章)</w:t>
      </w:r>
    </w:p>
    <w:p w:rsidR="003A7B0C" w:rsidRDefault="00126ED1">
      <w:pPr>
        <w:autoSpaceDE w:val="0"/>
        <w:spacing w:line="840" w:lineRule="auto"/>
        <w:ind w:left="1059" w:hangingChars="331" w:hanging="1059"/>
        <w:rPr>
          <w:rFonts w:ascii="仿宋" w:eastAsia="仿宋" w:hAnsi="仿宋" w:cs="仿宋"/>
          <w:sz w:val="32"/>
        </w:rPr>
      </w:pPr>
      <w:r>
        <w:rPr>
          <w:rFonts w:ascii="仿宋" w:eastAsia="仿宋" w:hAnsi="仿宋" w:cs="仿宋" w:hint="eastAsia"/>
          <w:sz w:val="32"/>
        </w:rPr>
        <w:t xml:space="preserve">      申请经营废物的类别</w:t>
      </w:r>
      <w:r>
        <w:rPr>
          <w:rFonts w:ascii="仿宋" w:eastAsia="仿宋" w:hAnsi="仿宋" w:cs="仿宋" w:hint="eastAsia"/>
          <w:sz w:val="2"/>
          <w:szCs w:val="2"/>
        </w:rPr>
        <w:t>U</w:t>
      </w:r>
      <w:r>
        <w:rPr>
          <w:rFonts w:ascii="仿宋" w:eastAsia="仿宋" w:hAnsi="仿宋" w:cs="仿宋" w:hint="eastAsia"/>
          <w:sz w:val="32"/>
          <w:u w:val="single"/>
        </w:rPr>
        <w:t xml:space="preserve">   </w:t>
      </w:r>
      <w:r>
        <w:rPr>
          <w:rFonts w:ascii="仿宋" w:eastAsia="仿宋" w:hAnsi="仿宋" w:cs="仿宋"/>
          <w:sz w:val="28"/>
          <w:szCs w:val="24"/>
          <w:u w:val="single"/>
        </w:rPr>
        <w:t>HW06</w:t>
      </w:r>
      <w:r>
        <w:rPr>
          <w:rFonts w:ascii="仿宋" w:eastAsia="仿宋" w:hAnsi="仿宋" w:cs="仿宋" w:hint="eastAsia"/>
          <w:sz w:val="28"/>
          <w:szCs w:val="24"/>
          <w:u w:val="single"/>
        </w:rPr>
        <w:t>、</w:t>
      </w:r>
      <w:r>
        <w:rPr>
          <w:rFonts w:ascii="仿宋" w:eastAsia="仿宋" w:hAnsi="仿宋" w:cs="仿宋"/>
          <w:sz w:val="28"/>
          <w:szCs w:val="24"/>
          <w:u w:val="single"/>
        </w:rPr>
        <w:t>HW08</w:t>
      </w:r>
      <w:r>
        <w:rPr>
          <w:rFonts w:ascii="仿宋" w:eastAsia="仿宋" w:hAnsi="仿宋" w:cs="仿宋" w:hint="eastAsia"/>
          <w:sz w:val="28"/>
          <w:szCs w:val="24"/>
          <w:u w:val="single"/>
        </w:rPr>
        <w:t>、</w:t>
      </w:r>
      <w:r>
        <w:rPr>
          <w:rFonts w:ascii="仿宋" w:eastAsia="仿宋" w:hAnsi="仿宋" w:cs="仿宋"/>
          <w:sz w:val="28"/>
          <w:szCs w:val="24"/>
          <w:u w:val="single"/>
        </w:rPr>
        <w:t>HW09</w:t>
      </w:r>
      <w:r>
        <w:rPr>
          <w:rFonts w:ascii="仿宋" w:eastAsia="仿宋" w:hAnsi="仿宋" w:cs="仿宋" w:hint="eastAsia"/>
          <w:sz w:val="28"/>
          <w:szCs w:val="24"/>
          <w:u w:val="single"/>
        </w:rPr>
        <w:t>、</w:t>
      </w:r>
      <w:r>
        <w:rPr>
          <w:rFonts w:ascii="仿宋" w:eastAsia="仿宋" w:hAnsi="仿宋" w:cs="仿宋"/>
          <w:sz w:val="28"/>
          <w:szCs w:val="24"/>
          <w:u w:val="single"/>
        </w:rPr>
        <w:t>HW12</w:t>
      </w:r>
      <w:r>
        <w:rPr>
          <w:rFonts w:ascii="仿宋" w:eastAsia="仿宋" w:hAnsi="仿宋" w:cs="仿宋" w:hint="eastAsia"/>
          <w:sz w:val="28"/>
          <w:szCs w:val="24"/>
          <w:u w:val="single"/>
        </w:rPr>
        <w:t>、</w:t>
      </w:r>
      <w:r>
        <w:rPr>
          <w:rFonts w:ascii="仿宋" w:eastAsia="仿宋" w:hAnsi="仿宋" w:cs="仿宋"/>
          <w:sz w:val="28"/>
          <w:szCs w:val="24"/>
          <w:u w:val="single"/>
        </w:rPr>
        <w:t>HW13</w:t>
      </w:r>
      <w:r>
        <w:rPr>
          <w:rFonts w:ascii="仿宋" w:eastAsia="仿宋" w:hAnsi="仿宋" w:cs="仿宋" w:hint="eastAsia"/>
          <w:sz w:val="28"/>
          <w:szCs w:val="24"/>
          <w:u w:val="single"/>
        </w:rPr>
        <w:t>、</w:t>
      </w:r>
      <w:r>
        <w:rPr>
          <w:rFonts w:ascii="仿宋" w:eastAsia="仿宋" w:hAnsi="仿宋" w:cs="仿宋"/>
          <w:sz w:val="28"/>
          <w:szCs w:val="24"/>
          <w:u w:val="single"/>
        </w:rPr>
        <w:t>HW16</w:t>
      </w:r>
      <w:r>
        <w:rPr>
          <w:rFonts w:ascii="仿宋" w:eastAsia="仿宋" w:hAnsi="仿宋" w:cs="仿宋" w:hint="eastAsia"/>
          <w:sz w:val="28"/>
          <w:szCs w:val="24"/>
          <w:u w:val="single"/>
        </w:rPr>
        <w:t>、</w:t>
      </w:r>
      <w:r>
        <w:rPr>
          <w:rFonts w:ascii="仿宋" w:eastAsia="仿宋" w:hAnsi="仿宋" w:cs="仿宋"/>
          <w:sz w:val="28"/>
          <w:szCs w:val="24"/>
          <w:u w:val="single"/>
        </w:rPr>
        <w:t>HW</w:t>
      </w:r>
      <w:r>
        <w:rPr>
          <w:rFonts w:ascii="仿宋" w:eastAsia="仿宋" w:hAnsi="仿宋" w:cs="仿宋" w:hint="eastAsia"/>
          <w:sz w:val="28"/>
          <w:szCs w:val="24"/>
          <w:u w:val="single"/>
        </w:rPr>
        <w:t>17、</w:t>
      </w:r>
      <w:r>
        <w:rPr>
          <w:rFonts w:ascii="仿宋" w:eastAsia="仿宋" w:hAnsi="仿宋" w:cs="仿宋"/>
          <w:sz w:val="28"/>
          <w:szCs w:val="24"/>
          <w:u w:val="single"/>
        </w:rPr>
        <w:t>HW</w:t>
      </w:r>
      <w:r>
        <w:rPr>
          <w:rFonts w:ascii="仿宋" w:eastAsia="仿宋" w:hAnsi="仿宋" w:cs="仿宋" w:hint="eastAsia"/>
          <w:sz w:val="28"/>
          <w:szCs w:val="24"/>
          <w:u w:val="single"/>
        </w:rPr>
        <w:t>21、</w:t>
      </w:r>
      <w:r>
        <w:rPr>
          <w:rFonts w:ascii="仿宋" w:eastAsia="仿宋" w:hAnsi="仿宋" w:cs="仿宋"/>
          <w:sz w:val="28"/>
          <w:szCs w:val="24"/>
          <w:u w:val="single"/>
        </w:rPr>
        <w:t>HW2</w:t>
      </w:r>
      <w:r>
        <w:rPr>
          <w:rFonts w:ascii="仿宋" w:eastAsia="仿宋" w:hAnsi="仿宋" w:cs="仿宋" w:hint="eastAsia"/>
          <w:sz w:val="28"/>
          <w:szCs w:val="24"/>
          <w:u w:val="single"/>
        </w:rPr>
        <w:t>2、</w:t>
      </w:r>
      <w:r>
        <w:rPr>
          <w:rFonts w:ascii="仿宋" w:eastAsia="仿宋" w:hAnsi="仿宋" w:cs="仿宋"/>
          <w:sz w:val="28"/>
          <w:szCs w:val="24"/>
          <w:u w:val="single"/>
        </w:rPr>
        <w:t>HW</w:t>
      </w:r>
      <w:r>
        <w:rPr>
          <w:rFonts w:ascii="仿宋" w:eastAsia="仿宋" w:hAnsi="仿宋" w:cs="仿宋" w:hint="eastAsia"/>
          <w:sz w:val="28"/>
          <w:szCs w:val="24"/>
          <w:u w:val="single"/>
        </w:rPr>
        <w:t>23、</w:t>
      </w:r>
      <w:r>
        <w:rPr>
          <w:rFonts w:ascii="仿宋" w:eastAsia="仿宋" w:hAnsi="仿宋" w:cs="仿宋"/>
          <w:sz w:val="28"/>
          <w:szCs w:val="24"/>
          <w:u w:val="single"/>
        </w:rPr>
        <w:t>HW</w:t>
      </w:r>
      <w:r>
        <w:rPr>
          <w:rFonts w:ascii="仿宋" w:eastAsia="仿宋" w:hAnsi="仿宋" w:cs="仿宋" w:hint="eastAsia"/>
          <w:sz w:val="28"/>
          <w:szCs w:val="24"/>
          <w:u w:val="single"/>
        </w:rPr>
        <w:t>29、</w:t>
      </w:r>
      <w:r>
        <w:rPr>
          <w:rFonts w:ascii="仿宋" w:eastAsia="仿宋" w:hAnsi="仿宋" w:cs="仿宋"/>
          <w:sz w:val="28"/>
          <w:szCs w:val="24"/>
          <w:u w:val="single"/>
        </w:rPr>
        <w:t>HW</w:t>
      </w:r>
      <w:r>
        <w:rPr>
          <w:rFonts w:ascii="仿宋" w:eastAsia="仿宋" w:hAnsi="仿宋" w:cs="仿宋" w:hint="eastAsia"/>
          <w:sz w:val="28"/>
          <w:szCs w:val="24"/>
          <w:u w:val="single"/>
        </w:rPr>
        <w:t>34、</w:t>
      </w:r>
      <w:r>
        <w:rPr>
          <w:rFonts w:ascii="仿宋" w:eastAsia="仿宋" w:hAnsi="仿宋" w:cs="仿宋"/>
          <w:sz w:val="28"/>
          <w:szCs w:val="24"/>
          <w:u w:val="single"/>
        </w:rPr>
        <w:t>HW</w:t>
      </w:r>
      <w:r>
        <w:rPr>
          <w:rFonts w:ascii="仿宋" w:eastAsia="仿宋" w:hAnsi="仿宋" w:cs="仿宋" w:hint="eastAsia"/>
          <w:sz w:val="28"/>
          <w:szCs w:val="24"/>
          <w:u w:val="single"/>
        </w:rPr>
        <w:t>35、</w:t>
      </w:r>
      <w:r>
        <w:rPr>
          <w:rFonts w:ascii="仿宋" w:eastAsia="仿宋" w:hAnsi="仿宋" w:cs="仿宋"/>
          <w:sz w:val="28"/>
          <w:szCs w:val="24"/>
          <w:u w:val="single"/>
        </w:rPr>
        <w:t>HW</w:t>
      </w:r>
      <w:r>
        <w:rPr>
          <w:rFonts w:ascii="仿宋" w:eastAsia="仿宋" w:hAnsi="仿宋" w:cs="仿宋" w:hint="eastAsia"/>
          <w:sz w:val="28"/>
          <w:szCs w:val="24"/>
          <w:u w:val="single"/>
        </w:rPr>
        <w:t xml:space="preserve">36、 </w:t>
      </w:r>
      <w:r>
        <w:rPr>
          <w:rFonts w:ascii="仿宋" w:eastAsia="仿宋" w:hAnsi="仿宋" w:cs="仿宋"/>
          <w:sz w:val="28"/>
          <w:szCs w:val="24"/>
          <w:u w:val="single"/>
        </w:rPr>
        <w:t>HW</w:t>
      </w:r>
      <w:r>
        <w:rPr>
          <w:rFonts w:ascii="仿宋" w:eastAsia="仿宋" w:hAnsi="仿宋" w:cs="仿宋" w:hint="eastAsia"/>
          <w:sz w:val="28"/>
          <w:szCs w:val="24"/>
          <w:u w:val="single"/>
        </w:rPr>
        <w:t>48、</w:t>
      </w:r>
      <w:r>
        <w:rPr>
          <w:rFonts w:ascii="仿宋" w:eastAsia="仿宋" w:hAnsi="仿宋" w:cs="仿宋"/>
          <w:sz w:val="28"/>
          <w:szCs w:val="24"/>
          <w:u w:val="single"/>
        </w:rPr>
        <w:t>HW</w:t>
      </w:r>
      <w:r>
        <w:rPr>
          <w:rFonts w:ascii="仿宋" w:eastAsia="仿宋" w:hAnsi="仿宋" w:cs="仿宋" w:hint="eastAsia"/>
          <w:sz w:val="28"/>
          <w:szCs w:val="24"/>
          <w:u w:val="single"/>
        </w:rPr>
        <w:t>49</w:t>
      </w:r>
      <w:r>
        <w:rPr>
          <w:rFonts w:ascii="仿宋" w:eastAsia="仿宋" w:hAnsi="仿宋" w:cs="仿宋" w:hint="eastAsia"/>
          <w:sz w:val="32"/>
          <w:u w:val="single"/>
        </w:rPr>
        <w:t xml:space="preserve">  </w:t>
      </w:r>
    </w:p>
    <w:p w:rsidR="003A7B0C" w:rsidRDefault="00126ED1">
      <w:pPr>
        <w:autoSpaceDE w:val="0"/>
        <w:spacing w:line="840" w:lineRule="auto"/>
        <w:rPr>
          <w:rFonts w:ascii="仿宋" w:eastAsia="仿宋" w:hAnsi="仿宋" w:cs="仿宋"/>
          <w:sz w:val="32"/>
        </w:rPr>
      </w:pPr>
      <w:r>
        <w:rPr>
          <w:rFonts w:ascii="仿宋" w:eastAsia="仿宋" w:hAnsi="仿宋" w:cs="仿宋" w:hint="eastAsia"/>
          <w:sz w:val="32"/>
        </w:rPr>
        <w:t xml:space="preserve">      经营方式</w:t>
      </w:r>
      <w:r>
        <w:rPr>
          <w:rFonts w:ascii="仿宋" w:eastAsia="仿宋" w:hAnsi="仿宋" w:cs="仿宋" w:hint="eastAsia"/>
          <w:sz w:val="2"/>
          <w:szCs w:val="2"/>
        </w:rPr>
        <w:t>U</w:t>
      </w:r>
      <w:r>
        <w:rPr>
          <w:rFonts w:ascii="仿宋" w:eastAsia="仿宋" w:hAnsi="仿宋" w:cs="仿宋" w:hint="eastAsia"/>
          <w:sz w:val="32"/>
          <w:u w:val="single"/>
        </w:rPr>
        <w:t xml:space="preserve">              收集、贮存            </w:t>
      </w:r>
    </w:p>
    <w:p w:rsidR="003A7B0C" w:rsidRDefault="00126ED1">
      <w:pPr>
        <w:autoSpaceDE w:val="0"/>
        <w:spacing w:line="840" w:lineRule="auto"/>
        <w:ind w:left="3360" w:hangingChars="1050" w:hanging="3360"/>
        <w:rPr>
          <w:rFonts w:ascii="仿宋" w:eastAsia="仿宋" w:hAnsi="仿宋" w:cs="仿宋"/>
          <w:sz w:val="32"/>
        </w:rPr>
      </w:pPr>
      <w:r>
        <w:rPr>
          <w:rFonts w:ascii="仿宋" w:eastAsia="仿宋" w:hAnsi="仿宋" w:cs="仿宋" w:hint="eastAsia"/>
          <w:sz w:val="32"/>
        </w:rPr>
        <w:t xml:space="preserve">      申请数量(吨/年)</w:t>
      </w:r>
      <w:r>
        <w:rPr>
          <w:rFonts w:ascii="仿宋" w:eastAsia="仿宋" w:hAnsi="仿宋" w:cs="仿宋" w:hint="eastAsia"/>
          <w:sz w:val="2"/>
          <w:szCs w:val="2"/>
        </w:rPr>
        <w:t>U</w:t>
      </w:r>
      <w:r>
        <w:rPr>
          <w:rFonts w:ascii="仿宋" w:eastAsia="仿宋" w:hAnsi="仿宋" w:cs="仿宋" w:hint="eastAsia"/>
          <w:sz w:val="32"/>
          <w:u w:val="single"/>
        </w:rPr>
        <w:t xml:space="preserve">          5000              </w:t>
      </w:r>
    </w:p>
    <w:p w:rsidR="003A7B0C" w:rsidRDefault="00126ED1">
      <w:pPr>
        <w:autoSpaceDE w:val="0"/>
        <w:spacing w:line="840" w:lineRule="auto"/>
        <w:rPr>
          <w:rFonts w:ascii="仿宋" w:eastAsia="仿宋" w:hAnsi="仿宋" w:cs="仿宋"/>
          <w:sz w:val="32"/>
        </w:rPr>
      </w:pPr>
      <w:r>
        <w:rPr>
          <w:rFonts w:ascii="仿宋" w:eastAsia="仿宋" w:hAnsi="仿宋" w:cs="仿宋" w:hint="eastAsia"/>
          <w:sz w:val="32"/>
        </w:rPr>
        <w:t xml:space="preserve">      填报日期</w:t>
      </w:r>
      <w:r>
        <w:rPr>
          <w:rFonts w:ascii="仿宋" w:eastAsia="仿宋" w:hAnsi="仿宋" w:cs="仿宋" w:hint="eastAsia"/>
          <w:sz w:val="2"/>
          <w:szCs w:val="2"/>
        </w:rPr>
        <w:t>U</w:t>
      </w:r>
      <w:r>
        <w:rPr>
          <w:rFonts w:ascii="仿宋" w:eastAsia="仿宋" w:hAnsi="仿宋" w:cs="仿宋" w:hint="eastAsia"/>
          <w:sz w:val="32"/>
          <w:u w:val="single"/>
        </w:rPr>
        <w:t xml:space="preserve">          2025年4月18日          </w:t>
      </w:r>
    </w:p>
    <w:p w:rsidR="003A7B0C" w:rsidRDefault="003A7B0C">
      <w:pPr>
        <w:jc w:val="center"/>
        <w:rPr>
          <w:rFonts w:ascii="仿宋" w:eastAsia="仿宋" w:hAnsi="仿宋" w:cs="仿宋"/>
        </w:rPr>
      </w:pPr>
    </w:p>
    <w:p w:rsidR="003A7B0C" w:rsidRDefault="00126ED1">
      <w:pPr>
        <w:jc w:val="center"/>
        <w:rPr>
          <w:rFonts w:ascii="仿宋" w:eastAsia="仿宋" w:hAnsi="仿宋" w:cs="仿宋"/>
          <w:sz w:val="28"/>
        </w:rPr>
      </w:pPr>
      <w:r>
        <w:rPr>
          <w:rFonts w:ascii="仿宋" w:eastAsia="仿宋" w:hAnsi="仿宋" w:cs="仿宋" w:hint="eastAsia"/>
          <w:sz w:val="28"/>
        </w:rPr>
        <w:t xml:space="preserve">☑首次申请  ；□重新申请 ； </w:t>
      </w:r>
      <w:r>
        <w:rPr>
          <w:rFonts w:ascii="仿宋" w:eastAsia="仿宋" w:hAnsi="仿宋" w:cs="仿宋" w:hint="eastAsia"/>
          <w:sz w:val="28"/>
        </w:rPr>
        <w:sym w:font="Wingdings" w:char="00A8"/>
      </w:r>
      <w:r>
        <w:rPr>
          <w:rFonts w:ascii="仿宋" w:eastAsia="仿宋" w:hAnsi="仿宋" w:cs="仿宋" w:hint="eastAsia"/>
          <w:sz w:val="28"/>
        </w:rPr>
        <w:t>换证</w:t>
      </w:r>
    </w:p>
    <w:p w:rsidR="003A7B0C" w:rsidRDefault="003A7B0C">
      <w:pPr>
        <w:jc w:val="center"/>
        <w:rPr>
          <w:rFonts w:ascii="仿宋" w:eastAsia="仿宋" w:hAnsi="仿宋" w:cs="仿宋"/>
        </w:rPr>
      </w:pPr>
    </w:p>
    <w:p w:rsidR="003A7B0C" w:rsidRDefault="00126ED1">
      <w:pPr>
        <w:jc w:val="center"/>
        <w:rPr>
          <w:rFonts w:ascii="仿宋" w:eastAsia="仿宋" w:hAnsi="仿宋" w:cs="仿宋"/>
          <w:spacing w:val="20"/>
          <w:sz w:val="30"/>
        </w:rPr>
      </w:pPr>
      <w:r>
        <w:rPr>
          <w:rFonts w:ascii="仿宋" w:eastAsia="仿宋" w:hAnsi="仿宋" w:cs="仿宋" w:hint="eastAsia"/>
          <w:spacing w:val="20"/>
          <w:sz w:val="30"/>
        </w:rPr>
        <w:t>江苏省环境保护厅制</w:t>
      </w:r>
    </w:p>
    <w:p w:rsidR="003A7B0C" w:rsidRDefault="003A7B0C">
      <w:pPr>
        <w:jc w:val="center"/>
        <w:rPr>
          <w:rFonts w:ascii="仿宋" w:eastAsia="仿宋" w:hAnsi="仿宋" w:cs="仿宋"/>
          <w:spacing w:val="20"/>
          <w:sz w:val="30"/>
        </w:rPr>
        <w:sectPr w:rsidR="003A7B0C">
          <w:footerReference w:type="default" r:id="rId8"/>
          <w:pgSz w:w="11907" w:h="16840"/>
          <w:pgMar w:top="1440" w:right="1418" w:bottom="1440" w:left="1588" w:header="851" w:footer="851" w:gutter="0"/>
          <w:pgNumType w:start="1"/>
          <w:cols w:space="720"/>
          <w:docGrid w:type="lines" w:linePitch="312"/>
        </w:sectPr>
      </w:pPr>
    </w:p>
    <w:p w:rsidR="003A7B0C" w:rsidRDefault="003A7B0C">
      <w:pPr>
        <w:jc w:val="center"/>
        <w:rPr>
          <w:rFonts w:ascii="仿宋" w:eastAsia="仿宋" w:hAnsi="仿宋" w:cs="仿宋"/>
          <w:spacing w:val="20"/>
          <w:sz w:val="30"/>
        </w:rPr>
      </w:pPr>
    </w:p>
    <w:p w:rsidR="003A7B0C" w:rsidRDefault="00126ED1">
      <w:pPr>
        <w:jc w:val="center"/>
        <w:rPr>
          <w:rFonts w:ascii="仿宋" w:eastAsia="仿宋" w:hAnsi="仿宋" w:cs="仿宋"/>
          <w:sz w:val="36"/>
        </w:rPr>
      </w:pPr>
      <w:r>
        <w:rPr>
          <w:rFonts w:ascii="仿宋" w:eastAsia="仿宋" w:hAnsi="仿宋" w:cs="仿宋" w:hint="eastAsia"/>
          <w:sz w:val="36"/>
        </w:rPr>
        <w:t>填 写 说 明</w:t>
      </w:r>
    </w:p>
    <w:p w:rsidR="003A7B0C" w:rsidRDefault="003A7B0C">
      <w:pPr>
        <w:jc w:val="center"/>
        <w:rPr>
          <w:rFonts w:ascii="仿宋" w:eastAsia="仿宋" w:hAnsi="仿宋" w:cs="仿宋"/>
          <w:sz w:val="36"/>
        </w:rPr>
      </w:pPr>
    </w:p>
    <w:p w:rsidR="003A7B0C" w:rsidRDefault="00126ED1">
      <w:pPr>
        <w:numPr>
          <w:ilvl w:val="0"/>
          <w:numId w:val="2"/>
        </w:numPr>
        <w:jc w:val="left"/>
        <w:rPr>
          <w:rFonts w:ascii="仿宋" w:eastAsia="仿宋" w:hAnsi="仿宋" w:cs="仿宋"/>
          <w:sz w:val="28"/>
        </w:rPr>
      </w:pPr>
      <w:r>
        <w:rPr>
          <w:rFonts w:ascii="仿宋" w:eastAsia="仿宋" w:hAnsi="仿宋" w:cs="仿宋" w:hint="eastAsia"/>
          <w:sz w:val="28"/>
        </w:rPr>
        <w:t>申请书除最后一页（核查综合意见、市环保局审批意见部分）外均由申请单位填写，填写时除签名以外均要求打印。</w:t>
      </w:r>
    </w:p>
    <w:p w:rsidR="003A7B0C" w:rsidRDefault="00126ED1">
      <w:pPr>
        <w:numPr>
          <w:ilvl w:val="0"/>
          <w:numId w:val="2"/>
        </w:numPr>
        <w:jc w:val="left"/>
        <w:rPr>
          <w:rFonts w:ascii="仿宋" w:eastAsia="仿宋" w:hAnsi="仿宋" w:cs="仿宋"/>
          <w:sz w:val="28"/>
        </w:rPr>
      </w:pPr>
      <w:r>
        <w:rPr>
          <w:rFonts w:ascii="仿宋" w:eastAsia="仿宋" w:hAnsi="仿宋" w:cs="仿宋" w:hint="eastAsia"/>
          <w:sz w:val="28"/>
        </w:rPr>
        <w:t>申请书填写内容应与所附证明材料一致，否则视为材料不完整。</w:t>
      </w:r>
    </w:p>
    <w:p w:rsidR="003A7B0C" w:rsidRDefault="00126ED1">
      <w:pPr>
        <w:numPr>
          <w:ilvl w:val="0"/>
          <w:numId w:val="2"/>
        </w:numPr>
        <w:jc w:val="left"/>
        <w:rPr>
          <w:rFonts w:ascii="仿宋" w:eastAsia="仿宋" w:hAnsi="仿宋" w:cs="仿宋"/>
          <w:sz w:val="28"/>
        </w:rPr>
      </w:pPr>
      <w:r>
        <w:rPr>
          <w:rFonts w:ascii="仿宋" w:eastAsia="仿宋" w:hAnsi="仿宋" w:cs="仿宋" w:hint="eastAsia"/>
          <w:sz w:val="28"/>
        </w:rPr>
        <w:t>申请书各项内容应按实际情况填写。尚未实现的，按计划内容填写，并逐项注明“计划”字样。</w:t>
      </w:r>
    </w:p>
    <w:p w:rsidR="003A7B0C" w:rsidRDefault="00126ED1">
      <w:pPr>
        <w:numPr>
          <w:ilvl w:val="0"/>
          <w:numId w:val="2"/>
        </w:numPr>
        <w:jc w:val="left"/>
        <w:rPr>
          <w:rFonts w:ascii="仿宋" w:eastAsia="仿宋" w:hAnsi="仿宋" w:cs="仿宋"/>
          <w:sz w:val="28"/>
        </w:rPr>
      </w:pPr>
      <w:r>
        <w:rPr>
          <w:rFonts w:ascii="仿宋" w:eastAsia="仿宋" w:hAnsi="仿宋" w:cs="仿宋" w:hint="eastAsia"/>
          <w:sz w:val="28"/>
        </w:rPr>
        <w:t>经营方式分为收集、贮存、处置三大类，其中处置包括焚烧、填埋、化学处置、物理处置及其它方法。</w:t>
      </w:r>
    </w:p>
    <w:p w:rsidR="003A7B0C" w:rsidRDefault="00126ED1">
      <w:pPr>
        <w:numPr>
          <w:ilvl w:val="0"/>
          <w:numId w:val="2"/>
        </w:numPr>
        <w:jc w:val="left"/>
        <w:rPr>
          <w:rFonts w:ascii="仿宋" w:eastAsia="仿宋" w:hAnsi="仿宋" w:cs="仿宋"/>
          <w:sz w:val="28"/>
        </w:rPr>
      </w:pPr>
      <w:r>
        <w:rPr>
          <w:rFonts w:ascii="仿宋" w:eastAsia="仿宋" w:hAnsi="仿宋" w:cs="仿宋" w:hint="eastAsia"/>
          <w:sz w:val="28"/>
        </w:rPr>
        <w:t>危险废物的危险特性是指传染性、爆炸性、易燃性、腐蚀性、浸出毒性、急性毒性等特性。</w:t>
      </w:r>
    </w:p>
    <w:p w:rsidR="003A7B0C" w:rsidRDefault="00126ED1">
      <w:pPr>
        <w:numPr>
          <w:ilvl w:val="0"/>
          <w:numId w:val="2"/>
        </w:numPr>
        <w:jc w:val="left"/>
        <w:rPr>
          <w:rFonts w:ascii="仿宋" w:eastAsia="仿宋" w:hAnsi="仿宋" w:cs="仿宋"/>
          <w:sz w:val="28"/>
        </w:rPr>
      </w:pPr>
      <w:r>
        <w:rPr>
          <w:rFonts w:ascii="仿宋" w:eastAsia="仿宋" w:hAnsi="仿宋" w:cs="仿宋" w:hint="eastAsia"/>
          <w:sz w:val="28"/>
        </w:rPr>
        <w:t>申请书一式八份，如内容填写不下，可自行附页。</w:t>
      </w:r>
    </w:p>
    <w:p w:rsidR="003A7B0C" w:rsidRDefault="003A7B0C">
      <w:pPr>
        <w:rPr>
          <w:rFonts w:ascii="仿宋" w:eastAsia="仿宋" w:hAnsi="仿宋" w:cs="仿宋"/>
          <w:sz w:val="28"/>
        </w:rPr>
      </w:pPr>
    </w:p>
    <w:p w:rsidR="003A7B0C" w:rsidRDefault="003A7B0C">
      <w:pPr>
        <w:rPr>
          <w:rFonts w:ascii="仿宋" w:eastAsia="仿宋" w:hAnsi="仿宋" w:cs="仿宋"/>
          <w:sz w:val="28"/>
        </w:rPr>
      </w:pPr>
    </w:p>
    <w:p w:rsidR="003A7B0C" w:rsidRDefault="003A7B0C">
      <w:pPr>
        <w:rPr>
          <w:rFonts w:ascii="仿宋" w:eastAsia="仿宋" w:hAnsi="仿宋" w:cs="仿宋"/>
          <w:sz w:val="28"/>
        </w:rPr>
      </w:pPr>
    </w:p>
    <w:p w:rsidR="003A7B0C" w:rsidRDefault="003A7B0C">
      <w:pPr>
        <w:rPr>
          <w:rFonts w:ascii="仿宋" w:eastAsia="仿宋" w:hAnsi="仿宋" w:cs="仿宋"/>
          <w:sz w:val="28"/>
        </w:rPr>
      </w:pPr>
    </w:p>
    <w:p w:rsidR="003A7B0C" w:rsidRDefault="003A7B0C">
      <w:pPr>
        <w:rPr>
          <w:rFonts w:ascii="仿宋" w:eastAsia="仿宋" w:hAnsi="仿宋" w:cs="仿宋"/>
          <w:sz w:val="28"/>
        </w:rPr>
      </w:pPr>
    </w:p>
    <w:p w:rsidR="003A7B0C" w:rsidRDefault="003A7B0C">
      <w:pPr>
        <w:rPr>
          <w:rFonts w:ascii="仿宋" w:eastAsia="仿宋" w:hAnsi="仿宋" w:cs="仿宋"/>
          <w:sz w:val="28"/>
        </w:rPr>
      </w:pPr>
    </w:p>
    <w:p w:rsidR="003A7B0C" w:rsidRDefault="003A7B0C">
      <w:pPr>
        <w:rPr>
          <w:rFonts w:ascii="仿宋" w:eastAsia="仿宋" w:hAnsi="仿宋" w:cs="仿宋"/>
          <w:sz w:val="28"/>
        </w:rPr>
      </w:pPr>
    </w:p>
    <w:p w:rsidR="003A7B0C" w:rsidRDefault="003A7B0C">
      <w:pPr>
        <w:pStyle w:val="Default"/>
        <w:rPr>
          <w:rFonts w:hint="default"/>
        </w:rPr>
      </w:pPr>
    </w:p>
    <w:p w:rsidR="003A7B0C" w:rsidRDefault="003A7B0C">
      <w:pPr>
        <w:rPr>
          <w:rFonts w:ascii="仿宋" w:eastAsia="仿宋" w:hAnsi="仿宋" w:cs="仿宋"/>
          <w:sz w:val="28"/>
        </w:rPr>
      </w:pPr>
    </w:p>
    <w:p w:rsidR="003A7B0C" w:rsidRDefault="00126ED1">
      <w:pPr>
        <w:spacing w:line="480" w:lineRule="exact"/>
        <w:ind w:firstLine="555"/>
        <w:jc w:val="center"/>
        <w:rPr>
          <w:rFonts w:ascii="仿宋" w:eastAsia="仿宋" w:hAnsi="仿宋" w:cs="仿宋"/>
          <w:b/>
          <w:sz w:val="28"/>
        </w:rPr>
      </w:pPr>
      <w:r>
        <w:rPr>
          <w:rFonts w:ascii="仿宋" w:eastAsia="仿宋" w:hAnsi="仿宋" w:cs="仿宋" w:hint="eastAsia"/>
          <w:b/>
          <w:sz w:val="28"/>
        </w:rPr>
        <w:t>声明</w:t>
      </w:r>
    </w:p>
    <w:p w:rsidR="003A7B0C" w:rsidRDefault="00126ED1">
      <w:pPr>
        <w:spacing w:line="360" w:lineRule="auto"/>
        <w:ind w:firstLine="555"/>
        <w:rPr>
          <w:rFonts w:ascii="仿宋" w:eastAsia="仿宋" w:hAnsi="仿宋" w:cs="仿宋"/>
          <w:sz w:val="28"/>
        </w:rPr>
      </w:pPr>
      <w:r>
        <w:rPr>
          <w:rFonts w:ascii="仿宋" w:eastAsia="仿宋" w:hAnsi="仿宋" w:cs="仿宋" w:hint="eastAsia"/>
          <w:sz w:val="28"/>
        </w:rPr>
        <w:lastRenderedPageBreak/>
        <w:t xml:space="preserve">本申请书及有关附带资料是完整的和真实的。我代表申请单位郑重承诺：遵守《危险废物经营许可证管理办法》中对危险废物经营单位的各项规定，履行相关义务。             </w:t>
      </w:r>
    </w:p>
    <w:p w:rsidR="003A7B0C" w:rsidRDefault="00126ED1" w:rsidP="0006001B">
      <w:pPr>
        <w:spacing w:line="360" w:lineRule="auto"/>
        <w:ind w:firstLineChars="1762" w:firstLine="4934"/>
        <w:rPr>
          <w:rFonts w:ascii="仿宋" w:eastAsia="仿宋" w:hAnsi="仿宋" w:cs="仿宋"/>
          <w:sz w:val="28"/>
        </w:rPr>
      </w:pPr>
      <w:r>
        <w:rPr>
          <w:rFonts w:ascii="仿宋" w:eastAsia="仿宋" w:hAnsi="仿宋" w:cs="仿宋" w:hint="eastAsia"/>
          <w:sz w:val="28"/>
        </w:rPr>
        <w:t xml:space="preserve">法人代表签字：              </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2619"/>
        <w:gridCol w:w="1679"/>
        <w:gridCol w:w="6"/>
        <w:gridCol w:w="2715"/>
      </w:tblGrid>
      <w:tr w:rsidR="003A7B0C">
        <w:trPr>
          <w:cantSplit/>
          <w:trHeight w:val="1"/>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申请单位名称</w:t>
            </w:r>
          </w:p>
        </w:tc>
        <w:tc>
          <w:tcPr>
            <w:tcW w:w="261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江苏鸿晖环保再生资源利用有限公司</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经济性质</w:t>
            </w:r>
          </w:p>
        </w:tc>
        <w:tc>
          <w:tcPr>
            <w:tcW w:w="2715"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民营</w:t>
            </w:r>
          </w:p>
        </w:tc>
      </w:tr>
      <w:tr w:rsidR="003A7B0C">
        <w:trPr>
          <w:cantSplit/>
          <w:trHeight w:val="1"/>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注册地址</w:t>
            </w:r>
          </w:p>
        </w:tc>
        <w:tc>
          <w:tcPr>
            <w:tcW w:w="261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sz w:val="24"/>
                <w:szCs w:val="24"/>
              </w:rPr>
              <w:t>溧阳市埭头镇工业园区荣晖路1号</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企业代码</w:t>
            </w:r>
          </w:p>
        </w:tc>
        <w:tc>
          <w:tcPr>
            <w:tcW w:w="2715"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91320481MA25N0LUXW</w:t>
            </w:r>
          </w:p>
        </w:tc>
      </w:tr>
      <w:tr w:rsidR="003A7B0C">
        <w:trPr>
          <w:cantSplit/>
          <w:trHeight w:val="1"/>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经营场所地址</w:t>
            </w:r>
          </w:p>
        </w:tc>
        <w:tc>
          <w:tcPr>
            <w:tcW w:w="261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溧阳市埭头镇工业园区荣晖路1号</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固定资产总值</w:t>
            </w:r>
          </w:p>
        </w:tc>
        <w:tc>
          <w:tcPr>
            <w:tcW w:w="2715"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500万元</w:t>
            </w:r>
          </w:p>
        </w:tc>
      </w:tr>
      <w:tr w:rsidR="003A7B0C">
        <w:trPr>
          <w:cantSplit/>
          <w:trHeight w:val="682"/>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注册资金</w:t>
            </w:r>
          </w:p>
        </w:tc>
        <w:tc>
          <w:tcPr>
            <w:tcW w:w="261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1000万元</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法人代表</w:t>
            </w:r>
          </w:p>
        </w:tc>
        <w:tc>
          <w:tcPr>
            <w:tcW w:w="2715"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路志军</w:t>
            </w:r>
          </w:p>
        </w:tc>
      </w:tr>
      <w:tr w:rsidR="003A7B0C">
        <w:trPr>
          <w:cantSplit/>
          <w:trHeight w:val="707"/>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成立时间</w:t>
            </w:r>
          </w:p>
        </w:tc>
        <w:tc>
          <w:tcPr>
            <w:tcW w:w="261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2021年4月9日</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单位总人数</w:t>
            </w:r>
          </w:p>
        </w:tc>
        <w:tc>
          <w:tcPr>
            <w:tcW w:w="2715"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10人</w:t>
            </w:r>
          </w:p>
        </w:tc>
      </w:tr>
      <w:tr w:rsidR="003A7B0C">
        <w:trPr>
          <w:cantSplit/>
          <w:trHeight w:val="702"/>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占地面积</w:t>
            </w:r>
          </w:p>
        </w:tc>
        <w:tc>
          <w:tcPr>
            <w:tcW w:w="2619"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800㎡</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建筑面积</w:t>
            </w:r>
          </w:p>
        </w:tc>
        <w:tc>
          <w:tcPr>
            <w:tcW w:w="2715"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800㎡</w:t>
            </w:r>
          </w:p>
        </w:tc>
      </w:tr>
      <w:tr w:rsidR="003A7B0C">
        <w:trPr>
          <w:cantSplit/>
          <w:trHeight w:val="698"/>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电   话</w:t>
            </w:r>
          </w:p>
        </w:tc>
        <w:tc>
          <w:tcPr>
            <w:tcW w:w="2619"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13961279668</w:t>
            </w:r>
          </w:p>
        </w:tc>
        <w:tc>
          <w:tcPr>
            <w:tcW w:w="1685"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传    真</w:t>
            </w:r>
          </w:p>
        </w:tc>
        <w:tc>
          <w:tcPr>
            <w:tcW w:w="2715"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w:t>
            </w:r>
          </w:p>
        </w:tc>
      </w:tr>
      <w:tr w:rsidR="003A7B0C">
        <w:trPr>
          <w:cantSplit/>
          <w:trHeight w:val="708"/>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电子邮箱</w:t>
            </w:r>
          </w:p>
        </w:tc>
        <w:tc>
          <w:tcPr>
            <w:tcW w:w="261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1931352286@qq.com</w:t>
            </w:r>
          </w:p>
        </w:tc>
        <w:tc>
          <w:tcPr>
            <w:tcW w:w="167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邮政编码</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213000</w:t>
            </w:r>
          </w:p>
        </w:tc>
      </w:tr>
      <w:tr w:rsidR="003A7B0C">
        <w:trPr>
          <w:cantSplit/>
          <w:trHeight w:val="1"/>
        </w:trPr>
        <w:tc>
          <w:tcPr>
            <w:tcW w:w="1863" w:type="dxa"/>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联系人</w:t>
            </w:r>
          </w:p>
        </w:tc>
        <w:tc>
          <w:tcPr>
            <w:tcW w:w="261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bookmarkStart w:id="0" w:name="_GoBack"/>
            <w:bookmarkEnd w:id="0"/>
            <w:r>
              <w:rPr>
                <w:rFonts w:ascii="仿宋" w:eastAsia="仿宋" w:hAnsi="仿宋" w:cs="仿宋" w:hint="eastAsia"/>
                <w:sz w:val="24"/>
                <w:szCs w:val="24"/>
              </w:rPr>
              <w:t>路志军</w:t>
            </w:r>
          </w:p>
        </w:tc>
        <w:tc>
          <w:tcPr>
            <w:tcW w:w="167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联系人电话/手机</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center"/>
              <w:rPr>
                <w:rFonts w:ascii="仿宋" w:eastAsia="仿宋" w:hAnsi="仿宋" w:cs="仿宋"/>
                <w:sz w:val="24"/>
                <w:szCs w:val="24"/>
              </w:rPr>
            </w:pPr>
            <w:r>
              <w:rPr>
                <w:rFonts w:ascii="仿宋" w:eastAsia="仿宋" w:hAnsi="仿宋" w:cs="仿宋" w:hint="eastAsia"/>
                <w:sz w:val="24"/>
                <w:szCs w:val="24"/>
              </w:rPr>
              <w:t>13961279668</w:t>
            </w:r>
          </w:p>
        </w:tc>
      </w:tr>
    </w:tbl>
    <w:tbl>
      <w:tblPr>
        <w:tblpPr w:leftFromText="180" w:rightFromText="180" w:vertAnchor="text" w:horzAnchor="page" w:tblpX="1710" w:tblpY="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941"/>
        <w:gridCol w:w="837"/>
        <w:gridCol w:w="837"/>
        <w:gridCol w:w="941"/>
        <w:gridCol w:w="1047"/>
        <w:gridCol w:w="949"/>
        <w:gridCol w:w="701"/>
        <w:gridCol w:w="1181"/>
        <w:gridCol w:w="839"/>
      </w:tblGrid>
      <w:tr w:rsidR="003A7B0C">
        <w:trPr>
          <w:cantSplit/>
        </w:trPr>
        <w:tc>
          <w:tcPr>
            <w:tcW w:w="609" w:type="dxa"/>
            <w:vAlign w:val="center"/>
          </w:tcPr>
          <w:p w:rsidR="003A7B0C" w:rsidRDefault="00126ED1">
            <w:pPr>
              <w:spacing w:line="300" w:lineRule="exact"/>
              <w:ind w:left="-57"/>
              <w:jc w:val="distribute"/>
              <w:rPr>
                <w:rFonts w:ascii="仿宋" w:eastAsia="仿宋" w:hAnsi="仿宋" w:cs="仿宋"/>
                <w:sz w:val="24"/>
                <w:szCs w:val="24"/>
              </w:rPr>
            </w:pPr>
            <w:r>
              <w:rPr>
                <w:rFonts w:ascii="仿宋" w:eastAsia="仿宋" w:hAnsi="仿宋" w:cs="仿宋" w:hint="eastAsia"/>
                <w:sz w:val="24"/>
                <w:szCs w:val="24"/>
              </w:rPr>
              <w:t>单位主要负责人</w:t>
            </w:r>
          </w:p>
        </w:tc>
        <w:tc>
          <w:tcPr>
            <w:tcW w:w="941"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姓 名</w:t>
            </w:r>
          </w:p>
        </w:tc>
        <w:tc>
          <w:tcPr>
            <w:tcW w:w="837"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性 别</w:t>
            </w:r>
          </w:p>
        </w:tc>
        <w:tc>
          <w:tcPr>
            <w:tcW w:w="837"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年 龄</w:t>
            </w:r>
          </w:p>
        </w:tc>
        <w:tc>
          <w:tcPr>
            <w:tcW w:w="941" w:type="dxa"/>
            <w:tcBorders>
              <w:top w:val="single" w:sz="4" w:space="0" w:color="auto"/>
              <w:left w:val="single" w:sz="4" w:space="0" w:color="auto"/>
              <w:bottom w:val="single" w:sz="4" w:space="0" w:color="auto"/>
              <w:right w:val="single" w:sz="4" w:space="0" w:color="auto"/>
            </w:tcBorders>
            <w:vAlign w:val="center"/>
          </w:tcPr>
          <w:p w:rsidR="003A7B0C" w:rsidRDefault="00126ED1">
            <w:pPr>
              <w:spacing w:line="480" w:lineRule="exact"/>
              <w:jc w:val="left"/>
              <w:rPr>
                <w:rFonts w:ascii="仿宋" w:eastAsia="仿宋" w:hAnsi="仿宋" w:cs="仿宋"/>
                <w:sz w:val="24"/>
                <w:szCs w:val="24"/>
              </w:rPr>
            </w:pPr>
            <w:r>
              <w:rPr>
                <w:rFonts w:ascii="仿宋" w:eastAsia="仿宋" w:hAnsi="仿宋" w:cs="仿宋" w:hint="eastAsia"/>
                <w:sz w:val="24"/>
                <w:szCs w:val="24"/>
              </w:rPr>
              <w:t>职 务</w:t>
            </w:r>
          </w:p>
        </w:tc>
        <w:tc>
          <w:tcPr>
            <w:tcW w:w="1047" w:type="dxa"/>
            <w:tcBorders>
              <w:top w:val="single" w:sz="4" w:space="0" w:color="auto"/>
              <w:left w:val="single" w:sz="4" w:space="0" w:color="auto"/>
              <w:bottom w:val="single" w:sz="4" w:space="0" w:color="auto"/>
              <w:right w:val="single" w:sz="4" w:space="0" w:color="auto"/>
            </w:tcBorders>
            <w:vAlign w:val="center"/>
          </w:tcPr>
          <w:p w:rsidR="003A7B0C" w:rsidRDefault="00126ED1">
            <w:pPr>
              <w:spacing w:line="480" w:lineRule="exact"/>
              <w:jc w:val="left"/>
              <w:rPr>
                <w:rFonts w:ascii="仿宋" w:eastAsia="仿宋" w:hAnsi="仿宋" w:cs="仿宋"/>
                <w:sz w:val="24"/>
                <w:szCs w:val="24"/>
              </w:rPr>
            </w:pPr>
            <w:r>
              <w:rPr>
                <w:rFonts w:ascii="仿宋" w:eastAsia="仿宋" w:hAnsi="仿宋" w:cs="仿宋" w:hint="eastAsia"/>
                <w:sz w:val="24"/>
                <w:szCs w:val="24"/>
              </w:rPr>
              <w:t>职 称</w:t>
            </w:r>
          </w:p>
        </w:tc>
        <w:tc>
          <w:tcPr>
            <w:tcW w:w="94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文化</w:t>
            </w:r>
          </w:p>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程度</w:t>
            </w:r>
          </w:p>
        </w:tc>
        <w:tc>
          <w:tcPr>
            <w:tcW w:w="701"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专业</w:t>
            </w:r>
          </w:p>
        </w:tc>
        <w:tc>
          <w:tcPr>
            <w:tcW w:w="1181"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本专业</w:t>
            </w:r>
          </w:p>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工作年限</w:t>
            </w:r>
          </w:p>
        </w:tc>
        <w:tc>
          <w:tcPr>
            <w:tcW w:w="839" w:type="dxa"/>
            <w:tcBorders>
              <w:top w:val="single" w:sz="4" w:space="0" w:color="auto"/>
              <w:left w:val="single" w:sz="4" w:space="0" w:color="auto"/>
              <w:bottom w:val="single" w:sz="4" w:space="0" w:color="auto"/>
              <w:right w:val="single" w:sz="4" w:space="0" w:color="auto"/>
            </w:tcBorders>
            <w:vAlign w:val="center"/>
          </w:tcPr>
          <w:p w:rsidR="003A7B0C" w:rsidRDefault="00126ED1">
            <w:pPr>
              <w:widowControl/>
              <w:spacing w:line="480" w:lineRule="exact"/>
              <w:jc w:val="left"/>
              <w:rPr>
                <w:rFonts w:ascii="仿宋" w:eastAsia="仿宋" w:hAnsi="仿宋" w:cs="仿宋"/>
                <w:sz w:val="24"/>
                <w:szCs w:val="24"/>
              </w:rPr>
            </w:pPr>
            <w:r>
              <w:rPr>
                <w:rFonts w:ascii="仿宋" w:eastAsia="仿宋" w:hAnsi="仿宋" w:cs="仿宋" w:hint="eastAsia"/>
                <w:sz w:val="24"/>
                <w:szCs w:val="24"/>
              </w:rPr>
              <w:t>工作岗位</w:t>
            </w:r>
          </w:p>
        </w:tc>
      </w:tr>
    </w:tbl>
    <w:p w:rsidR="003A7B0C" w:rsidRDefault="003A7B0C">
      <w:pPr>
        <w:pStyle w:val="Default"/>
        <w:rPr>
          <w:rFonts w:hint="default"/>
        </w:rPr>
      </w:pPr>
    </w:p>
    <w:p w:rsidR="003A7B0C" w:rsidRDefault="003A7B0C">
      <w:pPr>
        <w:spacing w:line="300" w:lineRule="exact"/>
        <w:ind w:left="-57"/>
        <w:jc w:val="distribute"/>
        <w:rPr>
          <w:rFonts w:ascii="仿宋" w:eastAsia="仿宋" w:hAnsi="仿宋" w:cs="仿宋"/>
          <w:position w:val="-6"/>
          <w:sz w:val="28"/>
        </w:rPr>
        <w:sectPr w:rsidR="003A7B0C">
          <w:footerReference w:type="default" r:id="rId9"/>
          <w:pgSz w:w="11907" w:h="16840"/>
          <w:pgMar w:top="1440" w:right="1418" w:bottom="1440" w:left="1588" w:header="851" w:footer="851" w:gutter="0"/>
          <w:cols w:space="720"/>
          <w:docGrid w:type="lines" w:linePitch="312"/>
        </w:sectPr>
      </w:pPr>
    </w:p>
    <w:tbl>
      <w:tblPr>
        <w:tblW w:w="15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112"/>
        <w:gridCol w:w="2112"/>
        <w:gridCol w:w="2112"/>
        <w:gridCol w:w="2112"/>
        <w:gridCol w:w="1790"/>
        <w:gridCol w:w="2435"/>
        <w:gridCol w:w="2113"/>
      </w:tblGrid>
      <w:tr w:rsidR="003A7B0C">
        <w:trPr>
          <w:trHeight w:hRule="exact" w:val="454"/>
          <w:tblHeader/>
          <w:jc w:val="center"/>
        </w:trPr>
        <w:tc>
          <w:tcPr>
            <w:tcW w:w="849" w:type="dxa"/>
            <w:vMerge w:val="restart"/>
            <w:vAlign w:val="center"/>
          </w:tcPr>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lastRenderedPageBreak/>
              <w:t>申</w:t>
            </w:r>
          </w:p>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请</w:t>
            </w:r>
          </w:p>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经</w:t>
            </w:r>
          </w:p>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营</w:t>
            </w:r>
          </w:p>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情</w:t>
            </w:r>
          </w:p>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况</w:t>
            </w:r>
          </w:p>
        </w:tc>
        <w:tc>
          <w:tcPr>
            <w:tcW w:w="2112"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废物名称</w:t>
            </w:r>
          </w:p>
        </w:tc>
        <w:tc>
          <w:tcPr>
            <w:tcW w:w="2112"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类别型号</w:t>
            </w:r>
          </w:p>
        </w:tc>
        <w:tc>
          <w:tcPr>
            <w:tcW w:w="2112"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代码</w:t>
            </w:r>
          </w:p>
        </w:tc>
        <w:tc>
          <w:tcPr>
            <w:tcW w:w="2112"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主要化学成分</w:t>
            </w:r>
          </w:p>
        </w:tc>
        <w:tc>
          <w:tcPr>
            <w:tcW w:w="1790"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危险特性</w:t>
            </w:r>
          </w:p>
        </w:tc>
        <w:tc>
          <w:tcPr>
            <w:tcW w:w="2435"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经营数量（吨/年）</w:t>
            </w:r>
          </w:p>
        </w:tc>
        <w:tc>
          <w:tcPr>
            <w:tcW w:w="211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经营方式</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废有机溶剂与含有机溶剂废物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HW06</w:t>
            </w: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900-404-06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50</w:t>
            </w:r>
          </w:p>
        </w:tc>
        <w:tc>
          <w:tcPr>
            <w:tcW w:w="2113" w:type="dxa"/>
            <w:vAlign w:val="center"/>
          </w:tcPr>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900-405-06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900-409-06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废矿物油与含矿物油废物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HW08</w:t>
            </w: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251-001-08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pStyle w:val="TableParagraph"/>
              <w:spacing w:before="168"/>
              <w:ind w:left="3"/>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2000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900-199-08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pStyle w:val="TableParagraph"/>
              <w:ind w:left="3"/>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900-200-08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pStyle w:val="TableParagraph"/>
              <w:ind w:left="4"/>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900-201-08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pStyle w:val="TableParagraph"/>
              <w:ind w:left="4"/>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900-203-08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900-204-08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900-209-08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900-210-08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900-214-08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900-216-08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900-217-08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900-218-08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900-219-08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900-220-08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900-221-08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900-249-08</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油/水、烃/水混合物或乳化液</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HW09</w:t>
            </w: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900-005-09</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500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900-006-09</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900-007-09</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染料、涂料废物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HW12</w:t>
            </w: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900-251-12</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900-252-12</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900-253-12</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900-255-12</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有机树脂类废物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HW13</w:t>
            </w: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900-015-13</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900-016-13</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900-451-13</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感光材料废物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HW16</w:t>
            </w: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231-001-16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30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231-002-16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398-001-16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900-019-16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表面处理废物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HW17</w:t>
            </w: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336-050-17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500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336-051-17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336-052-17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336-054-17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336-055-17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336-058-17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336-060-17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336-061-17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336-062-17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336-063-17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336-064-17</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毒性/腐蚀性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含铬废物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HW21</w:t>
            </w: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336-100-21</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45</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398-002-21</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含铜废物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HW22</w:t>
            </w: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398-004-22</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398-005-22</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398-051-22</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含锌废物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HW23</w:t>
            </w: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336-103-23</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40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20" w:lineRule="exact"/>
              <w:jc w:val="center"/>
              <w:rPr>
                <w:rFonts w:ascii="仿宋" w:eastAsia="仿宋" w:hAnsi="仿宋" w:cs="仿宋"/>
                <w:szCs w:val="21"/>
              </w:rPr>
            </w:pPr>
            <w:r>
              <w:rPr>
                <w:rFonts w:ascii="仿宋" w:eastAsia="仿宋" w:hAnsi="仿宋" w:cs="仿宋" w:hint="eastAsia"/>
                <w:szCs w:val="21"/>
              </w:rPr>
              <w:t>900-021-23</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含汞废物</w:t>
            </w: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HW29</w:t>
            </w: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900-023-29</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20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废酸</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HW34</w:t>
            </w: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313-001-34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110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398-005-34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398-006-34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398-007-34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900-300-34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900-301-34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900-302-34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900-303-34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900-304-34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900-305-34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900-306-34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00" w:lineRule="exact"/>
              <w:jc w:val="center"/>
              <w:rPr>
                <w:rFonts w:ascii="仿宋" w:eastAsia="仿宋" w:hAnsi="仿宋" w:cs="仿宋"/>
                <w:szCs w:val="21"/>
              </w:rPr>
            </w:pPr>
            <w:r>
              <w:rPr>
                <w:rFonts w:ascii="仿宋" w:eastAsia="仿宋" w:hAnsi="仿宋" w:cs="仿宋" w:hint="eastAsia"/>
                <w:szCs w:val="21"/>
              </w:rPr>
              <w:t>900-307-34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900-308-34</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废碱</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HW35</w:t>
            </w: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900-350-35</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55</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900-351-35</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900-352-35</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腐蚀性，毒性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23"/>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石棉废物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HW36</w:t>
            </w: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308-001-36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100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23"/>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367-001-36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900-030-36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900-031-36</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有色金属采选和冶炼废物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HW48</w:t>
            </w: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321-024-48</w:t>
            </w:r>
          </w:p>
        </w:tc>
        <w:tc>
          <w:tcPr>
            <w:tcW w:w="2112" w:type="dxa"/>
            <w:vAlign w:val="center"/>
          </w:tcPr>
          <w:p w:rsidR="003A7B0C" w:rsidRDefault="003A7B0C">
            <w:pPr>
              <w:spacing w:line="210" w:lineRule="exact"/>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500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Merge/>
            <w:vAlign w:val="center"/>
          </w:tcPr>
          <w:p w:rsidR="003A7B0C" w:rsidRDefault="003A7B0C">
            <w:pPr>
              <w:spacing w:line="240" w:lineRule="exact"/>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321-026-48</w:t>
            </w:r>
          </w:p>
        </w:tc>
        <w:tc>
          <w:tcPr>
            <w:tcW w:w="2112" w:type="dxa"/>
            <w:vAlign w:val="center"/>
          </w:tcPr>
          <w:p w:rsidR="003A7B0C" w:rsidRDefault="003A7B0C">
            <w:pPr>
              <w:spacing w:line="210" w:lineRule="exact"/>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spacing w:line="240" w:lineRule="exact"/>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其他废物</w:t>
            </w:r>
          </w:p>
        </w:tc>
        <w:tc>
          <w:tcPr>
            <w:tcW w:w="2112"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HW49</w:t>
            </w: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900-039-49</w:t>
            </w:r>
          </w:p>
        </w:tc>
        <w:tc>
          <w:tcPr>
            <w:tcW w:w="2112" w:type="dxa"/>
            <w:vAlign w:val="center"/>
          </w:tcPr>
          <w:p w:rsidR="003A7B0C" w:rsidRDefault="003A7B0C">
            <w:pPr>
              <w:pStyle w:val="a7"/>
              <w:ind w:leftChars="0" w:left="0"/>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restart"/>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900</w:t>
            </w: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900-041-49</w:t>
            </w:r>
          </w:p>
        </w:tc>
        <w:tc>
          <w:tcPr>
            <w:tcW w:w="2112" w:type="dxa"/>
            <w:vAlign w:val="center"/>
          </w:tcPr>
          <w:p w:rsidR="003A7B0C" w:rsidRDefault="003A7B0C">
            <w:pPr>
              <w:spacing w:line="210" w:lineRule="exact"/>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900-045-49</w:t>
            </w:r>
          </w:p>
        </w:tc>
        <w:tc>
          <w:tcPr>
            <w:tcW w:w="2112" w:type="dxa"/>
            <w:vAlign w:val="center"/>
          </w:tcPr>
          <w:p w:rsidR="003A7B0C" w:rsidRDefault="003A7B0C">
            <w:pPr>
              <w:spacing w:line="210" w:lineRule="exact"/>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900-046-49</w:t>
            </w:r>
          </w:p>
        </w:tc>
        <w:tc>
          <w:tcPr>
            <w:tcW w:w="2112" w:type="dxa"/>
            <w:vAlign w:val="center"/>
          </w:tcPr>
          <w:p w:rsidR="003A7B0C" w:rsidRDefault="003A7B0C">
            <w:pPr>
              <w:spacing w:line="210" w:lineRule="exact"/>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900-047-49</w:t>
            </w:r>
          </w:p>
        </w:tc>
        <w:tc>
          <w:tcPr>
            <w:tcW w:w="2112" w:type="dxa"/>
            <w:vAlign w:val="center"/>
          </w:tcPr>
          <w:p w:rsidR="003A7B0C" w:rsidRDefault="003A7B0C">
            <w:pPr>
              <w:spacing w:line="210" w:lineRule="exact"/>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毒性/腐蚀性/易燃性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r w:rsidR="003A7B0C">
        <w:trPr>
          <w:trHeight w:hRule="exact" w:val="454"/>
          <w:jc w:val="center"/>
        </w:trPr>
        <w:tc>
          <w:tcPr>
            <w:tcW w:w="849"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Merge/>
            <w:vAlign w:val="center"/>
          </w:tcPr>
          <w:p w:rsidR="003A7B0C" w:rsidRDefault="003A7B0C">
            <w:pPr>
              <w:pStyle w:val="a7"/>
              <w:ind w:leftChars="0" w:left="0"/>
              <w:jc w:val="center"/>
              <w:rPr>
                <w:rFonts w:ascii="仿宋" w:eastAsia="仿宋" w:hAnsi="仿宋" w:cs="仿宋"/>
                <w:szCs w:val="21"/>
              </w:rPr>
            </w:pPr>
          </w:p>
        </w:tc>
        <w:tc>
          <w:tcPr>
            <w:tcW w:w="2112" w:type="dxa"/>
            <w:vAlign w:val="center"/>
          </w:tcPr>
          <w:p w:rsidR="003A7B0C" w:rsidRDefault="00126ED1">
            <w:pPr>
              <w:spacing w:line="210" w:lineRule="exact"/>
              <w:jc w:val="center"/>
              <w:rPr>
                <w:rFonts w:ascii="仿宋" w:eastAsia="仿宋" w:hAnsi="仿宋" w:cs="仿宋"/>
                <w:szCs w:val="21"/>
              </w:rPr>
            </w:pPr>
            <w:r>
              <w:rPr>
                <w:rFonts w:ascii="仿宋" w:eastAsia="仿宋" w:hAnsi="仿宋" w:cs="仿宋" w:hint="eastAsia"/>
                <w:szCs w:val="21"/>
              </w:rPr>
              <w:t>900-999-49</w:t>
            </w:r>
          </w:p>
        </w:tc>
        <w:tc>
          <w:tcPr>
            <w:tcW w:w="2112" w:type="dxa"/>
            <w:vAlign w:val="center"/>
          </w:tcPr>
          <w:p w:rsidR="003A7B0C" w:rsidRDefault="003A7B0C">
            <w:pPr>
              <w:spacing w:line="210" w:lineRule="exact"/>
              <w:jc w:val="center"/>
              <w:rPr>
                <w:rFonts w:ascii="仿宋" w:eastAsia="仿宋" w:hAnsi="仿宋" w:cs="仿宋"/>
                <w:szCs w:val="21"/>
              </w:rPr>
            </w:pPr>
          </w:p>
        </w:tc>
        <w:tc>
          <w:tcPr>
            <w:tcW w:w="179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毒性/腐蚀性/易燃性</w:t>
            </w:r>
          </w:p>
        </w:tc>
        <w:tc>
          <w:tcPr>
            <w:tcW w:w="2435" w:type="dxa"/>
            <w:vMerge/>
            <w:vAlign w:val="center"/>
          </w:tcPr>
          <w:p w:rsidR="003A7B0C" w:rsidRDefault="003A7B0C">
            <w:pPr>
              <w:pStyle w:val="a7"/>
              <w:ind w:leftChars="0" w:left="0"/>
              <w:jc w:val="center"/>
              <w:rPr>
                <w:rFonts w:ascii="仿宋" w:eastAsia="仿宋" w:hAnsi="仿宋" w:cs="仿宋"/>
                <w:szCs w:val="21"/>
              </w:rPr>
            </w:pPr>
          </w:p>
        </w:tc>
        <w:tc>
          <w:tcPr>
            <w:tcW w:w="2113" w:type="dxa"/>
            <w:vAlign w:val="center"/>
          </w:tcPr>
          <w:p w:rsidR="003A7B0C" w:rsidRDefault="00126ED1">
            <w:pPr>
              <w:jc w:val="center"/>
              <w:rPr>
                <w:rFonts w:ascii="仿宋" w:eastAsia="仿宋" w:hAnsi="仿宋" w:cs="仿宋"/>
                <w:szCs w:val="21"/>
              </w:rPr>
            </w:pPr>
            <w:r>
              <w:rPr>
                <w:rFonts w:ascii="仿宋" w:eastAsia="仿宋" w:hAnsi="仿宋" w:cs="仿宋" w:hint="eastAsia"/>
                <w:szCs w:val="21"/>
              </w:rPr>
              <w:t>贮存</w:t>
            </w:r>
          </w:p>
        </w:tc>
      </w:tr>
    </w:tbl>
    <w:p w:rsidR="003A7B0C" w:rsidRDefault="003A7B0C">
      <w:pPr>
        <w:rPr>
          <w:rFonts w:ascii="仿宋" w:eastAsia="仿宋" w:hAnsi="仿宋" w:cs="仿宋"/>
          <w:sz w:val="28"/>
        </w:rPr>
      </w:pPr>
    </w:p>
    <w:p w:rsidR="003A7B0C" w:rsidRDefault="003A7B0C">
      <w:pPr>
        <w:pStyle w:val="a6"/>
        <w:rPr>
          <w:rFonts w:ascii="仿宋" w:eastAsia="仿宋" w:hAnsi="仿宋" w:cs="仿宋"/>
          <w:sz w:val="28"/>
        </w:rPr>
      </w:pPr>
    </w:p>
    <w:p w:rsidR="003A7B0C" w:rsidRDefault="003A7B0C">
      <w:pPr>
        <w:pStyle w:val="a6"/>
        <w:rPr>
          <w:rFonts w:ascii="仿宋" w:eastAsia="仿宋" w:hAnsi="仿宋" w:cs="仿宋"/>
          <w:sz w:val="28"/>
        </w:rPr>
      </w:pPr>
    </w:p>
    <w:p w:rsidR="003A7B0C" w:rsidRDefault="003A7B0C">
      <w:pPr>
        <w:pStyle w:val="a6"/>
        <w:rPr>
          <w:rFonts w:ascii="仿宋" w:eastAsia="仿宋" w:hAnsi="仿宋" w:cs="仿宋"/>
          <w:sz w:val="28"/>
        </w:rPr>
      </w:pPr>
    </w:p>
    <w:p w:rsidR="003A7B0C" w:rsidRDefault="003A7B0C">
      <w:pPr>
        <w:pStyle w:val="a6"/>
        <w:rPr>
          <w:rFonts w:ascii="仿宋" w:eastAsia="仿宋" w:hAnsi="仿宋" w:cs="仿宋"/>
          <w:sz w:val="28"/>
        </w:rPr>
      </w:pPr>
    </w:p>
    <w:p w:rsidR="003A7B0C" w:rsidRDefault="003A7B0C">
      <w:pPr>
        <w:pStyle w:val="a6"/>
        <w:rPr>
          <w:rFonts w:ascii="仿宋" w:eastAsia="仿宋" w:hAnsi="仿宋" w:cs="仿宋"/>
          <w:sz w:val="28"/>
        </w:rPr>
      </w:pPr>
    </w:p>
    <w:p w:rsidR="003A7B0C" w:rsidRDefault="003A7B0C">
      <w:pPr>
        <w:pStyle w:val="a6"/>
        <w:rPr>
          <w:rFonts w:ascii="仿宋" w:eastAsia="仿宋" w:hAnsi="仿宋" w:cs="仿宋"/>
          <w:sz w:val="28"/>
        </w:rPr>
      </w:pPr>
    </w:p>
    <w:tbl>
      <w:tblPr>
        <w:tblpPr w:leftFromText="180" w:rightFromText="180" w:vertAnchor="text" w:horzAnchor="page" w:tblpX="913" w:tblpY="212"/>
        <w:tblOverlap w:val="never"/>
        <w:tblW w:w="14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4230"/>
        <w:gridCol w:w="1593"/>
        <w:gridCol w:w="1663"/>
        <w:gridCol w:w="2443"/>
        <w:gridCol w:w="1593"/>
        <w:gridCol w:w="2691"/>
      </w:tblGrid>
      <w:tr w:rsidR="003A7B0C">
        <w:trPr>
          <w:trHeight w:hRule="exact" w:val="571"/>
          <w:tblHeader/>
        </w:trPr>
        <w:tc>
          <w:tcPr>
            <w:tcW w:w="684" w:type="dxa"/>
            <w:vMerge w:val="restart"/>
            <w:vAlign w:val="center"/>
          </w:tcPr>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lastRenderedPageBreak/>
              <w:t>主</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要</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经</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营</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设</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施</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及</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设</w:t>
            </w:r>
          </w:p>
          <w:p w:rsidR="003A7B0C" w:rsidRDefault="00126ED1">
            <w:pPr>
              <w:pStyle w:val="a7"/>
              <w:ind w:leftChars="0" w:left="0"/>
              <w:jc w:val="center"/>
              <w:rPr>
                <w:rFonts w:ascii="仿宋" w:eastAsia="仿宋" w:hAnsi="仿宋" w:cs="仿宋"/>
                <w:sz w:val="28"/>
                <w:szCs w:val="28"/>
              </w:rPr>
            </w:pPr>
            <w:r>
              <w:rPr>
                <w:rFonts w:ascii="仿宋" w:eastAsia="仿宋" w:hAnsi="仿宋" w:cs="仿宋" w:hint="eastAsia"/>
                <w:sz w:val="28"/>
                <w:szCs w:val="28"/>
              </w:rPr>
              <w:t>备</w:t>
            </w:r>
          </w:p>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pStyle w:val="a7"/>
              <w:snapToGrid w:val="0"/>
              <w:spacing w:after="0"/>
              <w:ind w:leftChars="0" w:left="0"/>
              <w:jc w:val="center"/>
              <w:rPr>
                <w:rFonts w:ascii="仿宋" w:eastAsia="仿宋" w:hAnsi="仿宋" w:cs="仿宋"/>
                <w:sz w:val="28"/>
                <w:szCs w:val="28"/>
              </w:rPr>
            </w:pPr>
            <w:r>
              <w:rPr>
                <w:rFonts w:ascii="仿宋" w:eastAsia="仿宋" w:hAnsi="仿宋" w:cs="仿宋" w:hint="eastAsia"/>
                <w:sz w:val="28"/>
                <w:szCs w:val="28"/>
              </w:rPr>
              <w:t>名称</w:t>
            </w:r>
          </w:p>
        </w:tc>
        <w:tc>
          <w:tcPr>
            <w:tcW w:w="1593" w:type="dxa"/>
            <w:vAlign w:val="center"/>
          </w:tcPr>
          <w:p w:rsidR="003A7B0C" w:rsidRDefault="00126ED1">
            <w:pPr>
              <w:pStyle w:val="a7"/>
              <w:adjustRightInd w:val="0"/>
              <w:snapToGrid w:val="0"/>
              <w:spacing w:after="0"/>
              <w:ind w:leftChars="0" w:left="0"/>
              <w:jc w:val="center"/>
              <w:rPr>
                <w:rFonts w:ascii="仿宋" w:eastAsia="仿宋" w:hAnsi="仿宋" w:cs="仿宋"/>
                <w:sz w:val="28"/>
                <w:szCs w:val="28"/>
              </w:rPr>
            </w:pPr>
            <w:r>
              <w:rPr>
                <w:rFonts w:ascii="仿宋" w:eastAsia="仿宋" w:hAnsi="仿宋" w:cs="仿宋" w:hint="eastAsia"/>
                <w:sz w:val="28"/>
                <w:szCs w:val="28"/>
              </w:rPr>
              <w:t>规格型号</w:t>
            </w:r>
          </w:p>
        </w:tc>
        <w:tc>
          <w:tcPr>
            <w:tcW w:w="1663" w:type="dxa"/>
            <w:vAlign w:val="center"/>
          </w:tcPr>
          <w:p w:rsidR="003A7B0C" w:rsidRDefault="00126ED1">
            <w:pPr>
              <w:pStyle w:val="a7"/>
              <w:adjustRightInd w:val="0"/>
              <w:snapToGrid w:val="0"/>
              <w:spacing w:after="0"/>
              <w:ind w:leftChars="0" w:left="0"/>
              <w:jc w:val="center"/>
              <w:rPr>
                <w:rFonts w:ascii="仿宋" w:eastAsia="仿宋" w:hAnsi="仿宋" w:cs="仿宋"/>
                <w:sz w:val="28"/>
                <w:szCs w:val="28"/>
              </w:rPr>
            </w:pPr>
            <w:r>
              <w:rPr>
                <w:rFonts w:ascii="仿宋" w:eastAsia="仿宋" w:hAnsi="仿宋" w:cs="仿宋" w:hint="eastAsia"/>
                <w:sz w:val="28"/>
                <w:szCs w:val="28"/>
              </w:rPr>
              <w:t>数量（台）</w:t>
            </w:r>
          </w:p>
        </w:tc>
        <w:tc>
          <w:tcPr>
            <w:tcW w:w="2443" w:type="dxa"/>
            <w:vAlign w:val="center"/>
          </w:tcPr>
          <w:p w:rsidR="003A7B0C" w:rsidRDefault="00126ED1">
            <w:pPr>
              <w:pStyle w:val="a7"/>
              <w:adjustRightInd w:val="0"/>
              <w:snapToGrid w:val="0"/>
              <w:spacing w:after="0"/>
              <w:ind w:leftChars="0" w:left="0"/>
              <w:jc w:val="center"/>
              <w:rPr>
                <w:rFonts w:ascii="仿宋" w:eastAsia="仿宋" w:hAnsi="仿宋" w:cs="仿宋"/>
                <w:sz w:val="28"/>
                <w:szCs w:val="28"/>
              </w:rPr>
            </w:pPr>
            <w:r>
              <w:rPr>
                <w:rFonts w:ascii="仿宋" w:eastAsia="仿宋" w:hAnsi="仿宋" w:cs="仿宋" w:hint="eastAsia"/>
                <w:sz w:val="28"/>
                <w:szCs w:val="28"/>
              </w:rPr>
              <w:t>生产厂家/产地</w:t>
            </w:r>
          </w:p>
        </w:tc>
        <w:tc>
          <w:tcPr>
            <w:tcW w:w="1593" w:type="dxa"/>
            <w:vAlign w:val="center"/>
          </w:tcPr>
          <w:p w:rsidR="003A7B0C" w:rsidRDefault="00126ED1">
            <w:pPr>
              <w:pStyle w:val="a7"/>
              <w:adjustRightInd w:val="0"/>
              <w:snapToGrid w:val="0"/>
              <w:spacing w:after="0"/>
              <w:ind w:leftChars="0" w:left="0"/>
              <w:jc w:val="center"/>
              <w:rPr>
                <w:rFonts w:ascii="仿宋" w:eastAsia="仿宋" w:hAnsi="仿宋" w:cs="仿宋"/>
                <w:sz w:val="28"/>
                <w:szCs w:val="28"/>
              </w:rPr>
            </w:pPr>
            <w:r>
              <w:rPr>
                <w:rFonts w:ascii="仿宋" w:eastAsia="仿宋" w:hAnsi="仿宋" w:cs="仿宋" w:hint="eastAsia"/>
                <w:sz w:val="28"/>
                <w:szCs w:val="28"/>
              </w:rPr>
              <w:t>投运日期</w:t>
            </w:r>
          </w:p>
        </w:tc>
        <w:tc>
          <w:tcPr>
            <w:tcW w:w="2691" w:type="dxa"/>
            <w:vAlign w:val="center"/>
          </w:tcPr>
          <w:p w:rsidR="003A7B0C" w:rsidRDefault="00126ED1">
            <w:pPr>
              <w:pStyle w:val="a7"/>
              <w:adjustRightInd w:val="0"/>
              <w:snapToGrid w:val="0"/>
              <w:spacing w:after="0"/>
              <w:ind w:leftChars="0" w:left="0"/>
              <w:jc w:val="center"/>
              <w:rPr>
                <w:rFonts w:ascii="仿宋" w:eastAsia="仿宋" w:hAnsi="仿宋" w:cs="仿宋"/>
                <w:sz w:val="28"/>
                <w:szCs w:val="28"/>
              </w:rPr>
            </w:pPr>
            <w:r>
              <w:rPr>
                <w:rFonts w:ascii="仿宋" w:eastAsia="仿宋" w:hAnsi="仿宋" w:cs="仿宋" w:hint="eastAsia"/>
                <w:sz w:val="28"/>
                <w:szCs w:val="28"/>
              </w:rPr>
              <w:t>使用场所/用途</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叉车</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用于厂内运输，设防爆装置，不使用柴油叉车</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电子磅</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用于称重</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打包机</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用于加固危废包装</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火焰原子吸收分光光度计</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用于检测</w:t>
            </w:r>
            <w:r>
              <w:rPr>
                <w:rFonts w:ascii="仿宋" w:eastAsia="仿宋" w:hAnsi="仿宋" w:cs="仿宋" w:hint="eastAsia"/>
                <w:bCs/>
                <w:szCs w:val="21"/>
              </w:rPr>
              <w:t>铅、镉</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原子荧光光谱仪</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用于检测</w:t>
            </w:r>
            <w:r>
              <w:rPr>
                <w:rFonts w:ascii="仿宋" w:eastAsia="仿宋" w:hAnsi="仿宋" w:cs="仿宋" w:hint="eastAsia"/>
                <w:bCs/>
                <w:szCs w:val="21"/>
              </w:rPr>
              <w:t>砷、汞</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闪点测定仪</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用于检测闪点</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pH检测仪</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用于检测腐蚀性</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紫外可见分光光度计</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用于检测氰化物、总氰化物</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气相色谱仪</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用于检测苯系物</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超声波清洗机</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用于清洗容器</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电子天平</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用于称重</w:t>
            </w:r>
          </w:p>
        </w:tc>
      </w:tr>
      <w:tr w:rsidR="003A7B0C">
        <w:trPr>
          <w:trHeight w:hRule="exact" w:val="571"/>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kern w:val="0"/>
                <w:szCs w:val="21"/>
              </w:rPr>
              <w:t>电烘箱</w:t>
            </w:r>
          </w:p>
        </w:tc>
        <w:tc>
          <w:tcPr>
            <w:tcW w:w="1593" w:type="dxa"/>
            <w:vAlign w:val="center"/>
          </w:tcPr>
          <w:p w:rsidR="003A7B0C" w:rsidRDefault="00126ED1">
            <w:pPr>
              <w:widowControl/>
              <w:spacing w:line="240" w:lineRule="exact"/>
              <w:jc w:val="center"/>
              <w:rPr>
                <w:rFonts w:ascii="仿宋" w:eastAsia="仿宋" w:hAnsi="仿宋" w:cs="仿宋"/>
                <w:kern w:val="0"/>
                <w:szCs w:val="21"/>
              </w:rPr>
            </w:pPr>
            <w:r>
              <w:rPr>
                <w:rFonts w:ascii="仿宋" w:eastAsia="仿宋" w:hAnsi="仿宋" w:cs="仿宋" w:hint="eastAsia"/>
                <w:kern w:val="0"/>
                <w:szCs w:val="21"/>
              </w:rPr>
              <w:t>/</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443" w:type="dxa"/>
            <w:vAlign w:val="center"/>
          </w:tcPr>
          <w:p w:rsidR="003A7B0C" w:rsidRDefault="00126ED1">
            <w:pPr>
              <w:pStyle w:val="a7"/>
              <w:spacing w:after="0"/>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spacing w:after="0"/>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用于器皿烘干</w:t>
            </w:r>
          </w:p>
        </w:tc>
      </w:tr>
      <w:tr w:rsidR="003A7B0C">
        <w:trPr>
          <w:trHeight w:hRule="exact" w:val="583"/>
        </w:trPr>
        <w:tc>
          <w:tcPr>
            <w:tcW w:w="684" w:type="dxa"/>
            <w:vMerge/>
            <w:vAlign w:val="center"/>
          </w:tcPr>
          <w:p w:rsidR="003A7B0C" w:rsidRDefault="003A7B0C">
            <w:pPr>
              <w:pStyle w:val="a7"/>
              <w:ind w:leftChars="0" w:left="0"/>
              <w:jc w:val="center"/>
              <w:rPr>
                <w:rFonts w:ascii="仿宋" w:eastAsia="仿宋" w:hAnsi="仿宋" w:cs="仿宋"/>
                <w:sz w:val="28"/>
                <w:szCs w:val="28"/>
              </w:rPr>
            </w:pPr>
          </w:p>
        </w:tc>
        <w:tc>
          <w:tcPr>
            <w:tcW w:w="423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rPr>
              <w:t>碱喷淋+除雾器+二级活性炭吸附装置</w:t>
            </w:r>
          </w:p>
        </w:tc>
        <w:tc>
          <w:tcPr>
            <w:tcW w:w="1593"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rPr>
              <w:t>30000m</w:t>
            </w:r>
            <w:r>
              <w:rPr>
                <w:rFonts w:ascii="仿宋" w:eastAsia="仿宋" w:hAnsi="仿宋" w:cs="仿宋" w:hint="eastAsia"/>
                <w:vertAlign w:val="superscript"/>
              </w:rPr>
              <w:t>3</w:t>
            </w:r>
            <w:r>
              <w:rPr>
                <w:rFonts w:ascii="仿宋" w:eastAsia="仿宋" w:hAnsi="仿宋" w:cs="仿宋" w:hint="eastAsia"/>
              </w:rPr>
              <w:t>/h</w:t>
            </w:r>
          </w:p>
        </w:tc>
        <w:tc>
          <w:tcPr>
            <w:tcW w:w="1663"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rPr>
              <w:t>1</w:t>
            </w:r>
          </w:p>
        </w:tc>
        <w:tc>
          <w:tcPr>
            <w:tcW w:w="2443" w:type="dxa"/>
            <w:vAlign w:val="center"/>
          </w:tcPr>
          <w:p w:rsidR="003A7B0C" w:rsidRDefault="00126ED1">
            <w:pPr>
              <w:pStyle w:val="a7"/>
              <w:ind w:leftChars="0" w:left="0"/>
              <w:jc w:val="center"/>
              <w:rPr>
                <w:rFonts w:ascii="仿宋" w:eastAsia="仿宋" w:hAnsi="仿宋" w:cs="仿宋"/>
                <w:szCs w:val="21"/>
              </w:rPr>
            </w:pPr>
            <w:r>
              <w:rPr>
                <w:rFonts w:ascii="仿宋" w:eastAsia="仿宋" w:hAnsi="仿宋" w:cs="仿宋" w:hint="eastAsia"/>
                <w:szCs w:val="21"/>
              </w:rPr>
              <w:t>国产</w:t>
            </w:r>
          </w:p>
        </w:tc>
        <w:tc>
          <w:tcPr>
            <w:tcW w:w="1593" w:type="dxa"/>
            <w:vAlign w:val="center"/>
          </w:tcPr>
          <w:p w:rsidR="003A7B0C" w:rsidRDefault="003A7B0C">
            <w:pPr>
              <w:pStyle w:val="a7"/>
              <w:ind w:leftChars="0" w:left="0"/>
              <w:jc w:val="center"/>
              <w:rPr>
                <w:rFonts w:ascii="仿宋" w:eastAsia="仿宋" w:hAnsi="仿宋" w:cs="仿宋"/>
                <w:sz w:val="28"/>
                <w:szCs w:val="28"/>
              </w:rPr>
            </w:pPr>
          </w:p>
        </w:tc>
        <w:tc>
          <w:tcPr>
            <w:tcW w:w="2691"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用于处理废气</w:t>
            </w:r>
          </w:p>
        </w:tc>
      </w:tr>
    </w:tbl>
    <w:p w:rsidR="003A7B0C" w:rsidRDefault="003A7B0C">
      <w:pPr>
        <w:pStyle w:val="a6"/>
      </w:pPr>
    </w:p>
    <w:p w:rsidR="003A7B0C" w:rsidRDefault="003A7B0C">
      <w:pPr>
        <w:rPr>
          <w:rFonts w:ascii="仿宋" w:eastAsia="仿宋" w:hAnsi="仿宋" w:cs="仿宋"/>
          <w:sz w:val="28"/>
        </w:rPr>
        <w:sectPr w:rsidR="003A7B0C">
          <w:pgSz w:w="16840" w:h="11907" w:orient="landscape"/>
          <w:pgMar w:top="1440" w:right="1080" w:bottom="1440" w:left="1080" w:header="851" w:footer="851" w:gutter="0"/>
          <w:cols w:space="720"/>
          <w:titlePg/>
          <w:docGrid w:type="lines" w:linePitch="312"/>
        </w:sectPr>
      </w:pPr>
    </w:p>
    <w:p w:rsidR="003A7B0C" w:rsidRDefault="003A7B0C">
      <w:pPr>
        <w:rPr>
          <w:rFonts w:ascii="仿宋" w:eastAsia="仿宋" w:hAnsi="仿宋" w:cs="仿宋"/>
          <w:sz w:val="28"/>
        </w:rPr>
        <w:sectPr w:rsidR="003A7B0C">
          <w:type w:val="continuous"/>
          <w:pgSz w:w="16840" w:h="11907" w:orient="landscape"/>
          <w:pgMar w:top="1440" w:right="1080" w:bottom="1440" w:left="1080" w:header="851" w:footer="851" w:gutter="0"/>
          <w:cols w:space="720"/>
          <w:titlePg/>
          <w:docGrid w:type="line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6"/>
      </w:tblGrid>
      <w:tr w:rsidR="003A7B0C">
        <w:trPr>
          <w:trHeight w:val="458"/>
        </w:trPr>
        <w:tc>
          <w:tcPr>
            <w:tcW w:w="9116" w:type="dxa"/>
          </w:tcPr>
          <w:p w:rsidR="003A7B0C" w:rsidRDefault="00126ED1">
            <w:pPr>
              <w:spacing w:line="360" w:lineRule="auto"/>
              <w:rPr>
                <w:rFonts w:ascii="仿宋" w:eastAsia="仿宋" w:hAnsi="仿宋" w:cs="仿宋"/>
                <w:sz w:val="28"/>
              </w:rPr>
            </w:pPr>
            <w:r>
              <w:rPr>
                <w:rFonts w:ascii="仿宋" w:eastAsia="仿宋" w:hAnsi="仿宋" w:cs="仿宋" w:hint="eastAsia"/>
                <w:sz w:val="28"/>
              </w:rPr>
              <w:lastRenderedPageBreak/>
              <w:t>废物的包装、收集</w:t>
            </w:r>
          </w:p>
          <w:p w:rsidR="003A7B0C" w:rsidRDefault="00126ED1">
            <w:pPr>
              <w:numPr>
                <w:ilvl w:val="0"/>
                <w:numId w:val="3"/>
              </w:numPr>
              <w:spacing w:line="360" w:lineRule="auto"/>
              <w:rPr>
                <w:rFonts w:ascii="仿宋" w:eastAsia="仿宋" w:hAnsi="仿宋" w:cs="仿宋"/>
                <w:sz w:val="28"/>
              </w:rPr>
            </w:pPr>
            <w:r>
              <w:rPr>
                <w:rFonts w:ascii="仿宋" w:eastAsia="仿宋" w:hAnsi="仿宋" w:cs="仿宋" w:hint="eastAsia"/>
                <w:sz w:val="28"/>
              </w:rPr>
              <w:t>废物包装形式</w:t>
            </w:r>
          </w:p>
          <w:p w:rsidR="003A7B0C" w:rsidRDefault="00126ED1">
            <w:pPr>
              <w:spacing w:line="360" w:lineRule="auto"/>
              <w:ind w:firstLineChars="200" w:firstLine="480"/>
              <w:rPr>
                <w:rFonts w:ascii="仿宋" w:eastAsia="仿宋" w:hAnsi="仿宋" w:cs="仿宋"/>
                <w:sz w:val="28"/>
              </w:rPr>
            </w:pPr>
            <w:r>
              <w:rPr>
                <w:rFonts w:ascii="仿宋" w:eastAsia="仿宋" w:hAnsi="仿宋" w:cs="仿宋" w:hint="eastAsia"/>
                <w:sz w:val="24"/>
              </w:rPr>
              <w:t>危险废物包装容器全部由产废单位自备，随危废一起进入最终处置单位处置，产废单位有周转使用要求的包装容器由最终处置单位返回产废单位，本项目不涉及包装容器的处置和清洁。</w:t>
            </w:r>
          </w:p>
          <w:p w:rsidR="003A7B0C" w:rsidRDefault="00126ED1">
            <w:pPr>
              <w:numPr>
                <w:ilvl w:val="0"/>
                <w:numId w:val="3"/>
              </w:numPr>
              <w:spacing w:line="360" w:lineRule="auto"/>
              <w:rPr>
                <w:rFonts w:ascii="仿宋" w:eastAsia="仿宋" w:hAnsi="仿宋" w:cs="仿宋"/>
                <w:sz w:val="28"/>
              </w:rPr>
            </w:pPr>
            <w:r>
              <w:rPr>
                <w:rFonts w:ascii="仿宋" w:eastAsia="仿宋" w:hAnsi="仿宋" w:cs="仿宋" w:hint="eastAsia"/>
                <w:sz w:val="28"/>
              </w:rPr>
              <w:t>包装容器数量</w:t>
            </w:r>
          </w:p>
          <w:tbl>
            <w:tblPr>
              <w:tblW w:w="831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5"/>
              <w:gridCol w:w="839"/>
              <w:gridCol w:w="3310"/>
              <w:gridCol w:w="841"/>
              <w:gridCol w:w="1691"/>
              <w:gridCol w:w="1001"/>
            </w:tblGrid>
            <w:tr w:rsidR="003A7B0C">
              <w:trPr>
                <w:trHeight w:val="978"/>
                <w:jc w:val="center"/>
              </w:trPr>
              <w:tc>
                <w:tcPr>
                  <w:tcW w:w="635" w:type="dxa"/>
                  <w:vAlign w:val="center"/>
                </w:tcPr>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隔间</w:t>
                  </w:r>
                </w:p>
              </w:tc>
              <w:tc>
                <w:tcPr>
                  <w:tcW w:w="839" w:type="dxa"/>
                  <w:vAlign w:val="center"/>
                </w:tcPr>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面积</w:t>
                  </w:r>
                </w:p>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（m</w:t>
                  </w:r>
                  <w:r>
                    <w:rPr>
                      <w:rFonts w:ascii="方正仿宋_GBK" w:eastAsia="方正仿宋_GBK" w:hAnsi="方正仿宋_GBK" w:cs="方正仿宋_GBK" w:hint="eastAsia"/>
                      <w:b/>
                      <w:bCs/>
                      <w:szCs w:val="21"/>
                      <w:vertAlign w:val="superscript"/>
                    </w:rPr>
                    <w:t>2</w:t>
                  </w:r>
                  <w:r>
                    <w:rPr>
                      <w:rFonts w:ascii="方正仿宋_GBK" w:eastAsia="方正仿宋_GBK" w:hAnsi="方正仿宋_GBK" w:cs="方正仿宋_GBK" w:hint="eastAsia"/>
                      <w:b/>
                      <w:bCs/>
                      <w:szCs w:val="21"/>
                    </w:rPr>
                    <w:t>）</w:t>
                  </w:r>
                </w:p>
              </w:tc>
              <w:tc>
                <w:tcPr>
                  <w:tcW w:w="3310" w:type="dxa"/>
                  <w:vAlign w:val="center"/>
                </w:tcPr>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存放废物类别</w:t>
                  </w:r>
                </w:p>
              </w:tc>
              <w:tc>
                <w:tcPr>
                  <w:tcW w:w="841" w:type="dxa"/>
                  <w:vAlign w:val="center"/>
                </w:tcPr>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贮存量</w:t>
                  </w:r>
                </w:p>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（t）</w:t>
                  </w:r>
                </w:p>
              </w:tc>
              <w:tc>
                <w:tcPr>
                  <w:tcW w:w="1691" w:type="dxa"/>
                  <w:vAlign w:val="center"/>
                </w:tcPr>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贮存方式</w:t>
                  </w:r>
                </w:p>
              </w:tc>
              <w:tc>
                <w:tcPr>
                  <w:tcW w:w="1001" w:type="dxa"/>
                  <w:vAlign w:val="center"/>
                </w:tcPr>
                <w:p w:rsidR="003A7B0C" w:rsidRDefault="00126ED1">
                  <w:pPr>
                    <w:spacing w:line="240" w:lineRule="exact"/>
                    <w:jc w:val="center"/>
                    <w:rPr>
                      <w:rFonts w:ascii="方正仿宋_GBK" w:eastAsia="方正仿宋_GBK" w:hAnsi="方正仿宋_GBK" w:cs="方正仿宋_GBK"/>
                      <w:b/>
                      <w:bCs/>
                      <w:szCs w:val="21"/>
                    </w:rPr>
                  </w:pPr>
                  <w:r>
                    <w:rPr>
                      <w:rFonts w:ascii="方正仿宋_GBK" w:eastAsia="方正仿宋_GBK" w:hAnsi="方正仿宋_GBK" w:cs="方正仿宋_GBK" w:hint="eastAsia"/>
                      <w:b/>
                      <w:bCs/>
                      <w:szCs w:val="21"/>
                    </w:rPr>
                    <w:t>数量（只）</w:t>
                  </w:r>
                </w:p>
              </w:tc>
            </w:tr>
            <w:tr w:rsidR="003A7B0C">
              <w:trPr>
                <w:trHeight w:val="634"/>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1-1</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16</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HW06废有机溶剂与含有机溶剂废物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11</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铁桶装/塑料桶装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11</w:t>
                  </w:r>
                </w:p>
              </w:tc>
            </w:tr>
            <w:tr w:rsidR="003A7B0C">
              <w:trPr>
                <w:trHeight w:val="628"/>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1-2</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HW08废矿物油与含矿物油废物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15</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铁桶装/塑料桶装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15</w:t>
                  </w:r>
                </w:p>
              </w:tc>
            </w:tr>
            <w:tr w:rsidR="003A7B0C">
              <w:trPr>
                <w:trHeight w:val="628"/>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36</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HW08废矿物油与含矿物油废物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铁桶装/塑料桶装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r>
            <w:tr w:rsidR="003A7B0C">
              <w:trPr>
                <w:trHeight w:val="628"/>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36</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HW09油水、烃水混合物或乳化液</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铁桶装/塑料桶装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20</w:t>
                  </w:r>
                </w:p>
              </w:tc>
            </w:tr>
            <w:tr w:rsidR="003A7B0C">
              <w:trPr>
                <w:trHeight w:val="348"/>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36</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HW17表面处理废物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36</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HW17表面处理废物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6#</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36</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HW34废酸</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7#</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HW35废碱</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8#</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36</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HW49其他废物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9#</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次生危废</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10#</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备用</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5</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11#</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HW12染料、涂料废物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铁桶/塑料桶装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12#</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HW13有机树脂类废物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铁桶/塑料桶装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13#</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HW16感光材料废物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14#</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HW21含铬废物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15#</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HW22含铜废物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16#</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HW23含锌废物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17#</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HW29含汞废物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塑料桶装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346"/>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18</w:t>
                  </w:r>
                </w:p>
              </w:tc>
              <w:tc>
                <w:tcPr>
                  <w:tcW w:w="3310"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HW36石棉废物</w:t>
                  </w: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c>
                <w:tcPr>
                  <w:tcW w:w="169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袋装</w:t>
                  </w: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w:t>
                  </w:r>
                </w:p>
              </w:tc>
            </w:tr>
            <w:tr w:rsidR="003A7B0C">
              <w:trPr>
                <w:trHeight w:val="417"/>
                <w:jc w:val="center"/>
              </w:trPr>
              <w:tc>
                <w:tcPr>
                  <w:tcW w:w="635"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总计</w:t>
                  </w:r>
                </w:p>
              </w:tc>
              <w:tc>
                <w:tcPr>
                  <w:tcW w:w="839"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450</w:t>
                  </w:r>
                </w:p>
              </w:tc>
              <w:tc>
                <w:tcPr>
                  <w:tcW w:w="3310" w:type="dxa"/>
                  <w:vAlign w:val="center"/>
                </w:tcPr>
                <w:p w:rsidR="003A7B0C" w:rsidRDefault="003A7B0C">
                  <w:pPr>
                    <w:spacing w:line="240" w:lineRule="exact"/>
                    <w:jc w:val="center"/>
                    <w:rPr>
                      <w:rFonts w:ascii="方正仿宋_GBK" w:eastAsia="方正仿宋_GBK" w:hAnsi="方正仿宋_GBK" w:cs="方正仿宋_GBK"/>
                      <w:szCs w:val="21"/>
                    </w:rPr>
                  </w:pPr>
                </w:p>
              </w:tc>
              <w:tc>
                <w:tcPr>
                  <w:tcW w:w="84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150</w:t>
                  </w:r>
                </w:p>
              </w:tc>
              <w:tc>
                <w:tcPr>
                  <w:tcW w:w="1691" w:type="dxa"/>
                  <w:vAlign w:val="center"/>
                </w:tcPr>
                <w:p w:rsidR="003A7B0C" w:rsidRDefault="003A7B0C">
                  <w:pPr>
                    <w:spacing w:line="240" w:lineRule="exact"/>
                    <w:jc w:val="center"/>
                    <w:rPr>
                      <w:rFonts w:ascii="方正仿宋_GBK" w:eastAsia="方正仿宋_GBK" w:hAnsi="方正仿宋_GBK" w:cs="方正仿宋_GBK"/>
                      <w:szCs w:val="21"/>
                    </w:rPr>
                  </w:pPr>
                </w:p>
              </w:tc>
              <w:tc>
                <w:tcPr>
                  <w:tcW w:w="1001" w:type="dxa"/>
                  <w:vAlign w:val="center"/>
                </w:tcPr>
                <w:p w:rsidR="003A7B0C" w:rsidRDefault="00126ED1">
                  <w:pPr>
                    <w:spacing w:line="24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150</w:t>
                  </w:r>
                </w:p>
              </w:tc>
            </w:tr>
          </w:tbl>
          <w:p w:rsidR="003A7B0C" w:rsidRDefault="003A7B0C">
            <w:pPr>
              <w:spacing w:line="360" w:lineRule="auto"/>
              <w:rPr>
                <w:rFonts w:ascii="仿宋" w:eastAsia="仿宋" w:hAnsi="仿宋" w:cs="仿宋"/>
                <w:sz w:val="28"/>
              </w:rPr>
            </w:pPr>
          </w:p>
          <w:p w:rsidR="003A7B0C" w:rsidRDefault="003A7B0C">
            <w:pPr>
              <w:spacing w:line="360" w:lineRule="auto"/>
              <w:rPr>
                <w:rFonts w:ascii="仿宋" w:eastAsia="仿宋" w:hAnsi="仿宋" w:cs="仿宋"/>
                <w:sz w:val="28"/>
              </w:rPr>
            </w:pPr>
          </w:p>
          <w:p w:rsidR="003A7B0C" w:rsidRDefault="00126ED1">
            <w:pPr>
              <w:spacing w:line="360" w:lineRule="auto"/>
              <w:rPr>
                <w:rFonts w:ascii="仿宋" w:eastAsia="仿宋" w:hAnsi="仿宋" w:cs="仿宋"/>
                <w:sz w:val="28"/>
              </w:rPr>
            </w:pPr>
            <w:r>
              <w:rPr>
                <w:rFonts w:ascii="仿宋" w:eastAsia="仿宋" w:hAnsi="仿宋" w:cs="仿宋" w:hint="eastAsia"/>
                <w:sz w:val="28"/>
              </w:rPr>
              <w:lastRenderedPageBreak/>
              <w:t>3、废物收集工具、设施</w:t>
            </w:r>
          </w:p>
          <w:p w:rsidR="003A7B0C" w:rsidRDefault="00126ED1">
            <w:pPr>
              <w:spacing w:line="360" w:lineRule="auto"/>
              <w:ind w:firstLineChars="200" w:firstLine="480"/>
              <w:rPr>
                <w:rFonts w:ascii="仿宋" w:eastAsia="仿宋" w:hAnsi="仿宋" w:cs="仿宋"/>
                <w:sz w:val="28"/>
              </w:rPr>
            </w:pPr>
            <w:r>
              <w:rPr>
                <w:rFonts w:ascii="仿宋" w:eastAsia="仿宋" w:hAnsi="仿宋" w:cs="仿宋" w:hint="eastAsia"/>
                <w:bCs/>
                <w:sz w:val="24"/>
              </w:rPr>
              <w:t>本项目收集的危废都是产生单位打包好的危废，指派专业的运输及装卸人员至产废单位进行收集。到本项目贮存地后，电动叉车1辆，用于装卸包装好的危废。</w:t>
            </w:r>
          </w:p>
        </w:tc>
      </w:tr>
      <w:tr w:rsidR="003A7B0C">
        <w:trPr>
          <w:trHeight w:val="398"/>
        </w:trPr>
        <w:tc>
          <w:tcPr>
            <w:tcW w:w="9116" w:type="dxa"/>
          </w:tcPr>
          <w:p w:rsidR="003A7B0C" w:rsidRDefault="00126ED1">
            <w:pPr>
              <w:spacing w:line="360" w:lineRule="auto"/>
              <w:rPr>
                <w:rFonts w:ascii="仿宋" w:eastAsia="仿宋" w:hAnsi="仿宋" w:cs="仿宋"/>
                <w:sz w:val="28"/>
              </w:rPr>
            </w:pPr>
            <w:r>
              <w:rPr>
                <w:rFonts w:ascii="仿宋" w:eastAsia="仿宋" w:hAnsi="仿宋" w:cs="仿宋" w:hint="eastAsia"/>
                <w:sz w:val="28"/>
              </w:rPr>
              <w:lastRenderedPageBreak/>
              <w:t>废物的运输</w:t>
            </w:r>
          </w:p>
          <w:p w:rsidR="003A7B0C" w:rsidRDefault="00126ED1">
            <w:pPr>
              <w:numPr>
                <w:ilvl w:val="0"/>
                <w:numId w:val="4"/>
              </w:numPr>
              <w:spacing w:line="360" w:lineRule="auto"/>
              <w:rPr>
                <w:rFonts w:ascii="仿宋" w:eastAsia="仿宋" w:hAnsi="仿宋" w:cs="仿宋"/>
                <w:sz w:val="28"/>
              </w:rPr>
            </w:pPr>
            <w:r>
              <w:rPr>
                <w:rFonts w:ascii="仿宋" w:eastAsia="仿宋" w:hAnsi="仿宋" w:cs="仿宋" w:hint="eastAsia"/>
                <w:sz w:val="28"/>
              </w:rPr>
              <w:t>废物运输方式</w:t>
            </w:r>
          </w:p>
          <w:p w:rsidR="003A7B0C" w:rsidRDefault="00126ED1">
            <w:pPr>
              <w:spacing w:line="360" w:lineRule="auto"/>
              <w:ind w:firstLineChars="200" w:firstLine="480"/>
              <w:rPr>
                <w:rFonts w:ascii="仿宋" w:eastAsia="仿宋" w:hAnsi="仿宋" w:cs="仿宋"/>
                <w:sz w:val="28"/>
              </w:rPr>
            </w:pPr>
            <w:r>
              <w:rPr>
                <w:rFonts w:ascii="仿宋" w:eastAsia="仿宋" w:hAnsi="仿宋" w:cs="仿宋" w:hint="eastAsia"/>
                <w:sz w:val="24"/>
                <w:szCs w:val="21"/>
              </w:rPr>
              <w:t>有资质的危废运输车辆将收集的危废收集运送至本项目仓库，在货物装卸区利用叉车卸货，将不同种类的危废存放于不同的暂存区。</w:t>
            </w:r>
          </w:p>
          <w:p w:rsidR="003A7B0C" w:rsidRDefault="00126ED1">
            <w:pPr>
              <w:numPr>
                <w:ilvl w:val="0"/>
                <w:numId w:val="4"/>
              </w:numPr>
              <w:spacing w:line="360" w:lineRule="auto"/>
              <w:rPr>
                <w:rFonts w:ascii="仿宋" w:eastAsia="仿宋" w:hAnsi="仿宋" w:cs="仿宋"/>
                <w:sz w:val="28"/>
              </w:rPr>
            </w:pPr>
            <w:r>
              <w:rPr>
                <w:rFonts w:ascii="仿宋" w:eastAsia="仿宋" w:hAnsi="仿宋" w:cs="仿宋" w:hint="eastAsia"/>
                <w:sz w:val="28"/>
              </w:rPr>
              <w:t>现有运输工具数量和资质（或租用运输工具的来源、数量、资质）</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委托有危废运输资质的“江苏恒进物流发展有限公司”（运输许可证号：常字320400300151）仓库内有2辆用于装卸货的叉车。</w:t>
            </w:r>
          </w:p>
          <w:p w:rsidR="003A7B0C" w:rsidRDefault="00126ED1">
            <w:pPr>
              <w:numPr>
                <w:ilvl w:val="0"/>
                <w:numId w:val="4"/>
              </w:numPr>
              <w:spacing w:line="360" w:lineRule="auto"/>
              <w:rPr>
                <w:rFonts w:ascii="仿宋" w:eastAsia="仿宋" w:hAnsi="仿宋" w:cs="仿宋"/>
                <w:sz w:val="28"/>
              </w:rPr>
            </w:pPr>
            <w:r>
              <w:rPr>
                <w:rFonts w:ascii="仿宋" w:eastAsia="仿宋" w:hAnsi="仿宋" w:cs="仿宋" w:hint="eastAsia"/>
                <w:sz w:val="28"/>
              </w:rPr>
              <w:t>废物运输时的应急方案和工具</w:t>
            </w:r>
          </w:p>
          <w:p w:rsidR="003A7B0C" w:rsidRDefault="00126ED1">
            <w:pPr>
              <w:spacing w:line="360" w:lineRule="auto"/>
              <w:ind w:firstLineChars="200" w:firstLine="480"/>
              <w:rPr>
                <w:rFonts w:ascii="仿宋" w:eastAsia="仿宋" w:hAnsi="仿宋" w:cs="仿宋"/>
                <w:sz w:val="28"/>
              </w:rPr>
            </w:pPr>
            <w:r>
              <w:rPr>
                <w:rFonts w:ascii="仿宋" w:eastAsia="仿宋" w:hAnsi="仿宋" w:cs="仿宋" w:hint="eastAsia"/>
                <w:sz w:val="24"/>
                <w:szCs w:val="21"/>
              </w:rPr>
              <w:t>隔离污染区，周围设置警告标志，应急处置人员戴好防毒面具，穿防护服后将泄露、遗落的固废收集于规范的容器中，运至废物处理场所，被污染地面经检测后，作无害化处理。工具有防毒口罩、防护服、防护手套、防护鞋等。</w:t>
            </w:r>
          </w:p>
        </w:tc>
      </w:tr>
      <w:tr w:rsidR="003A7B0C">
        <w:trPr>
          <w:trHeight w:val="469"/>
        </w:trPr>
        <w:tc>
          <w:tcPr>
            <w:tcW w:w="9116" w:type="dxa"/>
          </w:tcPr>
          <w:p w:rsidR="003A7B0C" w:rsidRDefault="00126ED1">
            <w:pPr>
              <w:spacing w:line="360" w:lineRule="auto"/>
              <w:rPr>
                <w:rFonts w:ascii="仿宋" w:eastAsia="仿宋" w:hAnsi="仿宋" w:cs="仿宋"/>
                <w:sz w:val="28"/>
              </w:rPr>
            </w:pPr>
            <w:r>
              <w:rPr>
                <w:rFonts w:ascii="仿宋" w:eastAsia="仿宋" w:hAnsi="仿宋" w:cs="仿宋" w:hint="eastAsia"/>
                <w:sz w:val="28"/>
              </w:rPr>
              <w:t>废物的贮存/暂存</w:t>
            </w:r>
          </w:p>
          <w:p w:rsidR="003A7B0C" w:rsidRDefault="00126ED1">
            <w:pPr>
              <w:numPr>
                <w:ilvl w:val="0"/>
                <w:numId w:val="5"/>
              </w:numPr>
              <w:spacing w:line="360" w:lineRule="auto"/>
              <w:rPr>
                <w:rFonts w:ascii="仿宋" w:eastAsia="仿宋" w:hAnsi="仿宋" w:cs="仿宋"/>
                <w:sz w:val="28"/>
              </w:rPr>
            </w:pPr>
            <w:r>
              <w:rPr>
                <w:rFonts w:ascii="仿宋" w:eastAsia="仿宋" w:hAnsi="仿宋" w:cs="仿宋" w:hint="eastAsia"/>
                <w:sz w:val="28"/>
              </w:rPr>
              <w:t>废物贮存/暂存方式</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危废进厂后，贮存在附图中规定的相应区域。</w:t>
            </w:r>
          </w:p>
          <w:p w:rsidR="003A7B0C" w:rsidRDefault="00126ED1">
            <w:pPr>
              <w:numPr>
                <w:ilvl w:val="0"/>
                <w:numId w:val="5"/>
              </w:numPr>
              <w:spacing w:line="360" w:lineRule="auto"/>
              <w:rPr>
                <w:rFonts w:ascii="仿宋" w:eastAsia="仿宋" w:hAnsi="仿宋" w:cs="仿宋"/>
                <w:sz w:val="28"/>
              </w:rPr>
            </w:pPr>
            <w:r>
              <w:rPr>
                <w:rFonts w:ascii="仿宋" w:eastAsia="仿宋" w:hAnsi="仿宋" w:cs="仿宋" w:hint="eastAsia"/>
                <w:sz w:val="28"/>
              </w:rPr>
              <w:t>废物贮存场所情况简述</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危险废物贮存场所严格按照《危险废物贮存污染控制标准》要求建设，贮存场所设置了危险废物识别标识和安全标识，且远离火源，周围无易燃易爆等危险品。</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库房设置有独立的废气处理设施；库房门窗封闭，厂房安装微负压集气装置、碱水喷淋装置、活性炭吸附塔等污染防治措施。库房内四周开挖有集水沟</w:t>
            </w:r>
            <w:r>
              <w:rPr>
                <w:rFonts w:ascii="仿宋" w:eastAsia="仿宋" w:hAnsi="仿宋" w:cs="仿宋" w:hint="eastAsia"/>
                <w:spacing w:val="-20"/>
                <w:sz w:val="24"/>
                <w:szCs w:val="21"/>
              </w:rPr>
              <w:t>，并设有130 m³的应急池</w:t>
            </w:r>
            <w:r>
              <w:rPr>
                <w:rFonts w:ascii="仿宋" w:eastAsia="仿宋" w:hAnsi="仿宋" w:cs="仿宋" w:hint="eastAsia"/>
                <w:sz w:val="24"/>
                <w:szCs w:val="21"/>
              </w:rPr>
              <w:t>，地面采用玻璃纤维布和环氧树脂进行防渗防腐，方法为三布五油（先涂刷环氧树脂后贴布，再涂刷环氧树脂再贴布，涂刷环氧树脂再贴布，再涂刷环氧树脂，环氧树脂层厚2mm），各区域采用隔墙进行间隔，隔墙表面采用环氧树脂防腐，接缝采用环氧树脂胶粘结。</w:t>
            </w:r>
          </w:p>
          <w:p w:rsidR="003A7B0C" w:rsidRDefault="003A7B0C">
            <w:pPr>
              <w:pStyle w:val="Default"/>
              <w:rPr>
                <w:rFonts w:ascii="仿宋" w:eastAsia="仿宋" w:hAnsi="仿宋" w:cs="仿宋" w:hint="default"/>
                <w:szCs w:val="21"/>
              </w:rPr>
            </w:pPr>
          </w:p>
          <w:p w:rsidR="003A7B0C" w:rsidRDefault="003A7B0C">
            <w:pPr>
              <w:pStyle w:val="35"/>
            </w:pPr>
          </w:p>
        </w:tc>
      </w:tr>
      <w:tr w:rsidR="003A7B0C">
        <w:trPr>
          <w:trHeight w:val="459"/>
        </w:trPr>
        <w:tc>
          <w:tcPr>
            <w:tcW w:w="9116" w:type="dxa"/>
          </w:tcPr>
          <w:p w:rsidR="003A7B0C" w:rsidRDefault="00126ED1">
            <w:pPr>
              <w:spacing w:line="360" w:lineRule="auto"/>
              <w:rPr>
                <w:rFonts w:ascii="仿宋" w:eastAsia="仿宋" w:hAnsi="仿宋" w:cs="仿宋"/>
                <w:sz w:val="28"/>
              </w:rPr>
            </w:pPr>
            <w:r>
              <w:rPr>
                <w:rFonts w:ascii="仿宋" w:eastAsia="仿宋" w:hAnsi="仿宋" w:cs="仿宋" w:hint="eastAsia"/>
                <w:sz w:val="28"/>
              </w:rPr>
              <w:lastRenderedPageBreak/>
              <w:t>废物的预处理</w:t>
            </w:r>
          </w:p>
          <w:p w:rsidR="003A7B0C" w:rsidRDefault="00126ED1">
            <w:pPr>
              <w:numPr>
                <w:ilvl w:val="0"/>
                <w:numId w:val="6"/>
              </w:numPr>
              <w:spacing w:line="360" w:lineRule="auto"/>
              <w:rPr>
                <w:rFonts w:ascii="仿宋" w:eastAsia="仿宋" w:hAnsi="仿宋" w:cs="仿宋"/>
                <w:sz w:val="28"/>
              </w:rPr>
            </w:pPr>
            <w:r>
              <w:rPr>
                <w:rFonts w:ascii="仿宋" w:eastAsia="仿宋" w:hAnsi="仿宋" w:cs="仿宋" w:hint="eastAsia"/>
                <w:sz w:val="28"/>
              </w:rPr>
              <w:t>废物预处理工艺</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本项目仅收集、贮存，不进行利用、处置，无预处理工序。</w:t>
            </w:r>
          </w:p>
          <w:p w:rsidR="003A7B0C" w:rsidRDefault="00126ED1">
            <w:pPr>
              <w:numPr>
                <w:ilvl w:val="0"/>
                <w:numId w:val="6"/>
              </w:numPr>
              <w:spacing w:line="360" w:lineRule="auto"/>
              <w:rPr>
                <w:rFonts w:ascii="仿宋" w:eastAsia="仿宋" w:hAnsi="仿宋" w:cs="仿宋"/>
                <w:sz w:val="28"/>
              </w:rPr>
            </w:pPr>
            <w:r>
              <w:rPr>
                <w:rFonts w:ascii="仿宋" w:eastAsia="仿宋" w:hAnsi="仿宋" w:cs="仿宋" w:hint="eastAsia"/>
                <w:sz w:val="28"/>
              </w:rPr>
              <w:t>废物预处理设施、设备</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本项目仅收集、贮存，不进行利用、处置，无预处理工序。</w:t>
            </w:r>
          </w:p>
          <w:p w:rsidR="003A7B0C" w:rsidRDefault="003A7B0C">
            <w:pPr>
              <w:spacing w:line="360" w:lineRule="auto"/>
              <w:rPr>
                <w:rFonts w:ascii="仿宋" w:eastAsia="仿宋" w:hAnsi="仿宋" w:cs="仿宋"/>
                <w:sz w:val="28"/>
              </w:rPr>
            </w:pPr>
          </w:p>
        </w:tc>
      </w:tr>
      <w:tr w:rsidR="003A7B0C">
        <w:trPr>
          <w:trHeight w:val="974"/>
        </w:trPr>
        <w:tc>
          <w:tcPr>
            <w:tcW w:w="9116" w:type="dxa"/>
          </w:tcPr>
          <w:p w:rsidR="003A7B0C" w:rsidRDefault="00126ED1">
            <w:pPr>
              <w:spacing w:line="360" w:lineRule="auto"/>
              <w:rPr>
                <w:rFonts w:ascii="仿宋" w:eastAsia="仿宋" w:hAnsi="仿宋" w:cs="仿宋"/>
                <w:sz w:val="28"/>
              </w:rPr>
            </w:pPr>
            <w:r>
              <w:rPr>
                <w:rFonts w:ascii="仿宋" w:eastAsia="仿宋" w:hAnsi="仿宋" w:cs="仿宋" w:hint="eastAsia"/>
                <w:sz w:val="28"/>
              </w:rPr>
              <w:t>废物处置工艺及设备、设施</w:t>
            </w:r>
          </w:p>
          <w:p w:rsidR="003A7B0C" w:rsidRDefault="00126ED1">
            <w:pPr>
              <w:numPr>
                <w:ilvl w:val="0"/>
                <w:numId w:val="7"/>
              </w:numPr>
              <w:tabs>
                <w:tab w:val="left" w:pos="3233"/>
              </w:tabs>
              <w:spacing w:line="360" w:lineRule="auto"/>
              <w:rPr>
                <w:rFonts w:ascii="仿宋" w:eastAsia="仿宋" w:hAnsi="仿宋" w:cs="仿宋"/>
                <w:sz w:val="28"/>
              </w:rPr>
            </w:pPr>
            <w:r>
              <w:rPr>
                <w:rFonts w:ascii="仿宋" w:eastAsia="仿宋" w:hAnsi="仿宋" w:cs="仿宋" w:hint="eastAsia"/>
                <w:sz w:val="28"/>
              </w:rPr>
              <w:t>废物处置工艺</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本项目仅收集、贮存，不进行利用、处置，无处置工序。</w:t>
            </w:r>
          </w:p>
          <w:p w:rsidR="003A7B0C" w:rsidRDefault="00126ED1">
            <w:pPr>
              <w:spacing w:line="360" w:lineRule="auto"/>
              <w:rPr>
                <w:rFonts w:ascii="仿宋" w:eastAsia="仿宋" w:hAnsi="仿宋" w:cs="仿宋"/>
                <w:sz w:val="28"/>
              </w:rPr>
            </w:pPr>
            <w:r>
              <w:rPr>
                <w:rFonts w:ascii="仿宋" w:eastAsia="仿宋" w:hAnsi="仿宋" w:cs="仿宋" w:hint="eastAsia"/>
                <w:sz w:val="28"/>
              </w:rPr>
              <w:t>①收运流程</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本项目明确收集常州市范围内中小型产废企业。各产废单位贮存期接近3个月时，联系专业运输单位（委托江苏恒进物流发展有限公司）安排专用收集车收集危废，现场检验危废包装完好，按照要求包装完成并设置标识。汽车将危废收集运送至本项目仓库，在货物装卸区利用叉车卸货，移至相应危废暂存区。</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在收运过程中，收集和运输人员将配备必要的个人防护装备，如耐酸工作服、专用眼镜、耐酸手套等，同时严禁运输过程中擅自倾倒、丢弃各种危废及包装材料。</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本项目危废委托江苏恒进物流发展有限公司等第三方有资质单位运输，江苏恒进物流发展有限公司具有道路运输经营许可证及危险货物运输资质运输经营范围：道路危险货物运输（2类1项，2类2项，2类3项，3类，4类1项，5类1项，6类1项，8类，危险废物）（剧毒化学品除外），具有应对危险废物包装破裂、泄漏等事故进行应急处理的能力；因本项目回收点较多而且分散，因此由各回收点至暂存库房不具备固定线路的条件，没有固定路线，但转运路线确定的总体原则为：转运车辆运输途中不得经过医院、学校和居民区等人口密集区，避开饮用水水源保护区、自然保护区等敏感区域。</w:t>
            </w:r>
          </w:p>
          <w:p w:rsidR="003A7B0C" w:rsidRDefault="003A7B0C">
            <w:pPr>
              <w:spacing w:line="360" w:lineRule="auto"/>
              <w:rPr>
                <w:rFonts w:ascii="仿宋" w:eastAsia="仿宋" w:hAnsi="仿宋" w:cs="仿宋"/>
                <w:sz w:val="28"/>
              </w:rPr>
            </w:pPr>
          </w:p>
          <w:p w:rsidR="003A7B0C" w:rsidRDefault="003A7B0C">
            <w:pPr>
              <w:pStyle w:val="Default"/>
              <w:rPr>
                <w:rFonts w:ascii="仿宋" w:eastAsia="仿宋" w:hAnsi="仿宋" w:cs="仿宋" w:hint="default"/>
                <w:sz w:val="28"/>
              </w:rPr>
            </w:pPr>
          </w:p>
          <w:p w:rsidR="003A7B0C" w:rsidRDefault="003A7B0C">
            <w:pPr>
              <w:pStyle w:val="35"/>
            </w:pPr>
          </w:p>
          <w:p w:rsidR="003A7B0C" w:rsidRDefault="00126ED1">
            <w:pPr>
              <w:spacing w:line="360" w:lineRule="auto"/>
              <w:rPr>
                <w:rFonts w:ascii="仿宋" w:eastAsia="仿宋" w:hAnsi="仿宋" w:cs="仿宋"/>
                <w:sz w:val="28"/>
              </w:rPr>
            </w:pPr>
            <w:r>
              <w:rPr>
                <w:rFonts w:ascii="仿宋" w:eastAsia="仿宋" w:hAnsi="仿宋" w:cs="仿宋" w:hint="eastAsia"/>
                <w:sz w:val="28"/>
              </w:rPr>
              <w:t>②贮存系统</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lastRenderedPageBreak/>
              <w:t>本项目厂区范围仅为暂存项目，不涉及拆解和处置，具体工艺流程及产污环节见下图：</w:t>
            </w:r>
          </w:p>
          <w:p w:rsidR="003A7B0C" w:rsidRDefault="003A7B0C">
            <w:pPr>
              <w:spacing w:line="360" w:lineRule="auto"/>
              <w:rPr>
                <w:rFonts w:ascii="仿宋" w:eastAsia="仿宋" w:hAnsi="仿宋" w:cs="仿宋"/>
              </w:rPr>
            </w:pPr>
          </w:p>
          <w:p w:rsidR="003A7B0C" w:rsidRDefault="00126ED1">
            <w:pPr>
              <w:spacing w:line="360" w:lineRule="auto"/>
              <w:jc w:val="center"/>
              <w:rPr>
                <w:rFonts w:ascii="仿宋" w:eastAsia="仿宋" w:hAnsi="仿宋" w:cs="仿宋"/>
                <w:sz w:val="28"/>
              </w:rPr>
            </w:pPr>
            <w:r>
              <w:rPr>
                <w:rFonts w:ascii="仿宋" w:eastAsia="仿宋" w:hAnsi="仿宋" w:cs="仿宋" w:hint="eastAsia"/>
                <w:noProof/>
              </w:rPr>
              <w:drawing>
                <wp:inline distT="0" distB="0" distL="114300" distR="114300">
                  <wp:extent cx="4462780" cy="4198620"/>
                  <wp:effectExtent l="0" t="0" r="254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462780" cy="4198620"/>
                          </a:xfrm>
                          <a:prstGeom prst="rect">
                            <a:avLst/>
                          </a:prstGeom>
                          <a:noFill/>
                          <a:ln>
                            <a:noFill/>
                          </a:ln>
                        </pic:spPr>
                      </pic:pic>
                    </a:graphicData>
                  </a:graphic>
                </wp:inline>
              </w:drawing>
            </w:r>
          </w:p>
          <w:p w:rsidR="003A7B0C" w:rsidRDefault="00126ED1">
            <w:pPr>
              <w:spacing w:line="360" w:lineRule="auto"/>
              <w:rPr>
                <w:rFonts w:ascii="仿宋" w:eastAsia="仿宋" w:hAnsi="仿宋" w:cs="仿宋"/>
                <w:sz w:val="28"/>
              </w:rPr>
            </w:pPr>
            <w:r>
              <w:rPr>
                <w:rFonts w:ascii="仿宋" w:eastAsia="仿宋" w:hAnsi="仿宋" w:cs="仿宋" w:hint="eastAsia"/>
                <w:sz w:val="28"/>
              </w:rPr>
              <w:t>工艺流程说明：</w:t>
            </w:r>
          </w:p>
          <w:p w:rsidR="003A7B0C" w:rsidRDefault="00126ED1">
            <w:pPr>
              <w:spacing w:line="480" w:lineRule="exact"/>
              <w:ind w:firstLineChars="200" w:firstLine="482"/>
              <w:rPr>
                <w:rFonts w:ascii="仿宋" w:eastAsia="仿宋" w:hAnsi="仿宋" w:cs="仿宋"/>
                <w:b/>
                <w:bCs/>
                <w:sz w:val="24"/>
              </w:rPr>
            </w:pPr>
            <w:r>
              <w:rPr>
                <w:rFonts w:ascii="仿宋" w:eastAsia="仿宋" w:hAnsi="仿宋" w:cs="仿宋" w:hint="eastAsia"/>
                <w:b/>
                <w:bCs/>
                <w:sz w:val="24"/>
              </w:rPr>
              <w:t>1、收集前取样检测</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本项目接收的危废进厂前需进行取样检验，确认为本单位允许收集的废物后，再派出车辆收运。样品由本单位派遣专业技术人员去产废单位上门采集。根据《国家危险废物名录》（2021年版），判别危废类别与企业申报的是否一致以及有无其他不宜收集的限制性因素，严禁反应性、感染性及剧毒化学品进入厂区。</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本项目危废收集前的取样检验在项目配套的实验室内进行，本项目实验室主要对砷、铅、镉、汞、氰化物、苯系物、总氰化物、闪点、腐蚀性进行检测，危废入厂控制指标主要监测仪器和监测方法见表5-1。</w:t>
            </w:r>
          </w:p>
          <w:p w:rsidR="003A7B0C" w:rsidRDefault="003A7B0C">
            <w:pPr>
              <w:pStyle w:val="Default"/>
              <w:rPr>
                <w:rFonts w:ascii="仿宋" w:eastAsia="仿宋" w:hAnsi="仿宋" w:cs="仿宋" w:hint="default"/>
                <w:bCs/>
                <w:color w:val="auto"/>
              </w:rPr>
            </w:pPr>
          </w:p>
          <w:p w:rsidR="003A7B0C" w:rsidRDefault="003A7B0C">
            <w:pPr>
              <w:pStyle w:val="35"/>
            </w:pPr>
          </w:p>
          <w:p w:rsidR="003A7B0C" w:rsidRDefault="003A7B0C">
            <w:pPr>
              <w:pStyle w:val="35"/>
              <w:rPr>
                <w:rFonts w:ascii="仿宋" w:eastAsia="仿宋" w:hAnsi="仿宋" w:cs="仿宋"/>
              </w:rPr>
            </w:pPr>
          </w:p>
          <w:p w:rsidR="003A7B0C" w:rsidRDefault="00126ED1">
            <w:pPr>
              <w:adjustRightInd w:val="0"/>
              <w:snapToGrid w:val="0"/>
              <w:spacing w:line="480" w:lineRule="exact"/>
              <w:jc w:val="center"/>
              <w:rPr>
                <w:rFonts w:ascii="仿宋" w:eastAsia="仿宋" w:hAnsi="仿宋" w:cs="仿宋"/>
                <w:bCs/>
                <w:sz w:val="24"/>
              </w:rPr>
            </w:pPr>
            <w:r>
              <w:rPr>
                <w:rFonts w:ascii="仿宋" w:eastAsia="仿宋" w:hAnsi="仿宋" w:cs="仿宋" w:hint="eastAsia"/>
                <w:b/>
                <w:sz w:val="24"/>
              </w:rPr>
              <w:t>表5-1项目危废入厂控制指标主要监测仪器和监测方法一览表</w:t>
            </w:r>
          </w:p>
          <w:tbl>
            <w:tblPr>
              <w:tblStyle w:val="ae"/>
              <w:tblW w:w="8715" w:type="dxa"/>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905"/>
              <w:gridCol w:w="2763"/>
              <w:gridCol w:w="3047"/>
            </w:tblGrid>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
                      <w:szCs w:val="21"/>
                    </w:rPr>
                  </w:pPr>
                  <w:r>
                    <w:rPr>
                      <w:rFonts w:ascii="仿宋" w:eastAsia="仿宋" w:hAnsi="仿宋" w:cs="仿宋" w:hint="eastAsia"/>
                      <w:b/>
                      <w:szCs w:val="21"/>
                    </w:rPr>
                    <w:lastRenderedPageBreak/>
                    <w:t>控制指标</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b/>
                      <w:szCs w:val="21"/>
                    </w:rPr>
                  </w:pPr>
                  <w:r>
                    <w:rPr>
                      <w:rFonts w:ascii="仿宋" w:eastAsia="仿宋" w:hAnsi="仿宋" w:cs="仿宋" w:hint="eastAsia"/>
                      <w:b/>
                      <w:szCs w:val="21"/>
                    </w:rPr>
                    <w:t>监测仪器</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b/>
                      <w:szCs w:val="21"/>
                    </w:rPr>
                  </w:pPr>
                  <w:r>
                    <w:rPr>
                      <w:rFonts w:ascii="仿宋" w:eastAsia="仿宋" w:hAnsi="仿宋" w:cs="仿宋" w:hint="eastAsia"/>
                      <w:b/>
                      <w:szCs w:val="21"/>
                    </w:rPr>
                    <w:t>监测方法</w:t>
                  </w:r>
                </w:p>
              </w:tc>
            </w:tr>
            <w:tr w:rsidR="003A7B0C">
              <w:trPr>
                <w:trHeight w:val="400"/>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砷</w:t>
                  </w:r>
                </w:p>
              </w:tc>
              <w:tc>
                <w:tcPr>
                  <w:tcW w:w="2763" w:type="dxa"/>
                  <w:vMerge w:val="restart"/>
                  <w:tcBorders>
                    <w:tl2br w:val="nil"/>
                    <w:tr2bl w:val="nil"/>
                  </w:tcBorders>
                  <w:vAlign w:val="center"/>
                </w:tcPr>
                <w:p w:rsidR="003A7B0C" w:rsidRDefault="00126ED1">
                  <w:pPr>
                    <w:spacing w:line="240" w:lineRule="exact"/>
                    <w:jc w:val="center"/>
                    <w:textAlignment w:val="center"/>
                    <w:rPr>
                      <w:rFonts w:ascii="仿宋" w:eastAsia="仿宋" w:hAnsi="仿宋" w:cs="仿宋"/>
                      <w:bCs/>
                      <w:szCs w:val="21"/>
                    </w:rPr>
                  </w:pPr>
                  <w:r>
                    <w:rPr>
                      <w:rFonts w:ascii="仿宋" w:eastAsia="仿宋" w:hAnsi="仿宋" w:cs="仿宋" w:hint="eastAsia"/>
                      <w:bCs/>
                      <w:szCs w:val="21"/>
                    </w:rPr>
                    <w:t>原子荧光光谱仪</w:t>
                  </w:r>
                </w:p>
              </w:tc>
              <w:tc>
                <w:tcPr>
                  <w:tcW w:w="3047" w:type="dxa"/>
                  <w:vMerge w:val="restart"/>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固体废物 汞、砷、硒、铋、锑的测定 微波消解/原子荧光法（HJ702-2014）</w:t>
                  </w:r>
                </w:p>
              </w:tc>
            </w:tr>
            <w:tr w:rsidR="003A7B0C">
              <w:trPr>
                <w:trHeight w:val="90"/>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汞</w:t>
                  </w:r>
                </w:p>
              </w:tc>
              <w:tc>
                <w:tcPr>
                  <w:tcW w:w="2763" w:type="dxa"/>
                  <w:vMerge/>
                  <w:tcBorders>
                    <w:tl2br w:val="nil"/>
                    <w:tr2bl w:val="nil"/>
                  </w:tcBorders>
                  <w:vAlign w:val="center"/>
                </w:tcPr>
                <w:p w:rsidR="003A7B0C" w:rsidRDefault="003A7B0C">
                  <w:pPr>
                    <w:spacing w:line="240" w:lineRule="exact"/>
                    <w:jc w:val="center"/>
                    <w:textAlignment w:val="center"/>
                    <w:rPr>
                      <w:rFonts w:ascii="仿宋" w:eastAsia="仿宋" w:hAnsi="仿宋" w:cs="仿宋"/>
                      <w:bCs/>
                      <w:szCs w:val="21"/>
                    </w:rPr>
                  </w:pPr>
                </w:p>
              </w:tc>
              <w:tc>
                <w:tcPr>
                  <w:tcW w:w="3047" w:type="dxa"/>
                  <w:vMerge/>
                  <w:tcBorders>
                    <w:tl2br w:val="nil"/>
                    <w:tr2bl w:val="nil"/>
                  </w:tcBorders>
                  <w:vAlign w:val="center"/>
                </w:tcPr>
                <w:p w:rsidR="003A7B0C" w:rsidRDefault="003A7B0C">
                  <w:pPr>
                    <w:adjustRightInd w:val="0"/>
                    <w:snapToGrid w:val="0"/>
                    <w:jc w:val="center"/>
                    <w:rPr>
                      <w:rFonts w:ascii="仿宋" w:eastAsia="仿宋" w:hAnsi="仿宋" w:cs="仿宋"/>
                      <w:bCs/>
                      <w:szCs w:val="21"/>
                    </w:rPr>
                  </w:pPr>
                </w:p>
              </w:tc>
            </w:tr>
            <w:tr w:rsidR="003A7B0C">
              <w:trPr>
                <w:trHeight w:val="402"/>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铅</w:t>
                  </w:r>
                </w:p>
              </w:tc>
              <w:tc>
                <w:tcPr>
                  <w:tcW w:w="2763" w:type="dxa"/>
                  <w:vMerge w:val="restart"/>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kern w:val="0"/>
                      <w:szCs w:val="21"/>
                    </w:rPr>
                    <w:t>火焰原子吸收分光光度计</w:t>
                  </w:r>
                </w:p>
              </w:tc>
              <w:tc>
                <w:tcPr>
                  <w:tcW w:w="3047" w:type="dxa"/>
                  <w:vMerge w:val="restart"/>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固体废物 铅、锌和镉的测定 火焰原子吸收分光光度法（HJ786-2016）</w:t>
                  </w:r>
                </w:p>
              </w:tc>
            </w:tr>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镉</w:t>
                  </w:r>
                </w:p>
              </w:tc>
              <w:tc>
                <w:tcPr>
                  <w:tcW w:w="2763" w:type="dxa"/>
                  <w:vMerge/>
                  <w:tcBorders>
                    <w:tl2br w:val="nil"/>
                    <w:tr2bl w:val="nil"/>
                  </w:tcBorders>
                  <w:vAlign w:val="center"/>
                </w:tcPr>
                <w:p w:rsidR="003A7B0C" w:rsidRDefault="003A7B0C">
                  <w:pPr>
                    <w:spacing w:line="240" w:lineRule="exact"/>
                    <w:jc w:val="center"/>
                    <w:textAlignment w:val="center"/>
                    <w:rPr>
                      <w:rFonts w:ascii="仿宋" w:eastAsia="仿宋" w:hAnsi="仿宋" w:cs="仿宋"/>
                      <w:kern w:val="0"/>
                      <w:szCs w:val="21"/>
                    </w:rPr>
                  </w:pPr>
                </w:p>
              </w:tc>
              <w:tc>
                <w:tcPr>
                  <w:tcW w:w="3047" w:type="dxa"/>
                  <w:vMerge/>
                  <w:tcBorders>
                    <w:tl2br w:val="nil"/>
                    <w:tr2bl w:val="nil"/>
                  </w:tcBorders>
                  <w:vAlign w:val="center"/>
                </w:tcPr>
                <w:p w:rsidR="003A7B0C" w:rsidRDefault="003A7B0C">
                  <w:pPr>
                    <w:adjustRightInd w:val="0"/>
                    <w:snapToGrid w:val="0"/>
                    <w:jc w:val="center"/>
                    <w:rPr>
                      <w:rFonts w:ascii="仿宋" w:eastAsia="仿宋" w:hAnsi="仿宋" w:cs="仿宋"/>
                      <w:bCs/>
                      <w:szCs w:val="21"/>
                    </w:rPr>
                  </w:pPr>
                </w:p>
              </w:tc>
            </w:tr>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氰化物、总氰化物</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kern w:val="0"/>
                      <w:szCs w:val="21"/>
                    </w:rPr>
                    <w:t>紫外可见分光光度计</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固体废物 氰化物的测定 容量法和分光光度法（征求意见稿）</w:t>
                  </w:r>
                </w:p>
              </w:tc>
            </w:tr>
            <w:tr w:rsidR="003A7B0C">
              <w:trPr>
                <w:trHeight w:val="378"/>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苯系物</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kern w:val="0"/>
                      <w:szCs w:val="21"/>
                    </w:rPr>
                  </w:pPr>
                  <w:r>
                    <w:rPr>
                      <w:rFonts w:ascii="仿宋" w:eastAsia="仿宋" w:hAnsi="仿宋" w:cs="仿宋" w:hint="eastAsia"/>
                      <w:kern w:val="0"/>
                      <w:szCs w:val="21"/>
                    </w:rPr>
                    <w:t>气相色谱仪</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bCs/>
                      <w:szCs w:val="21"/>
                    </w:rPr>
                    <w:t>固体废物 苯系物的测定 顶空-气相色谱法（HJ975-2018）</w:t>
                  </w:r>
                </w:p>
              </w:tc>
            </w:tr>
            <w:tr w:rsidR="003A7B0C">
              <w:trPr>
                <w:trHeight w:val="378"/>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闪点</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kern w:val="0"/>
                      <w:szCs w:val="21"/>
                    </w:rPr>
                    <w:t>闪点测定仪</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w:t>
                  </w:r>
                </w:p>
              </w:tc>
            </w:tr>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pH</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kern w:val="0"/>
                      <w:szCs w:val="21"/>
                    </w:rPr>
                    <w:t>pH检测仪</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bCs/>
                      <w:szCs w:val="21"/>
                    </w:rPr>
                  </w:pPr>
                  <w:r>
                    <w:rPr>
                      <w:rFonts w:ascii="仿宋" w:eastAsia="仿宋" w:hAnsi="仿宋" w:cs="仿宋" w:hint="eastAsia"/>
                      <w:bCs/>
                      <w:szCs w:val="21"/>
                    </w:rPr>
                    <w:t>固体废物 腐蚀性测定 玻璃电极法（GB/T15555.12-1995）</w:t>
                  </w:r>
                </w:p>
              </w:tc>
            </w:tr>
          </w:tbl>
          <w:p w:rsidR="003A7B0C" w:rsidRDefault="00126ED1">
            <w:pPr>
              <w:adjustRightInd w:val="0"/>
              <w:snapToGrid w:val="0"/>
              <w:spacing w:line="480" w:lineRule="exact"/>
              <w:ind w:firstLineChars="200" w:firstLine="482"/>
              <w:rPr>
                <w:rFonts w:ascii="仿宋" w:eastAsia="仿宋" w:hAnsi="仿宋" w:cs="仿宋"/>
                <w:b/>
                <w:bCs/>
                <w:sz w:val="24"/>
              </w:rPr>
            </w:pPr>
            <w:r>
              <w:rPr>
                <w:rFonts w:ascii="仿宋" w:eastAsia="仿宋" w:hAnsi="仿宋" w:cs="仿宋" w:hint="eastAsia"/>
                <w:b/>
                <w:bCs/>
                <w:sz w:val="24"/>
              </w:rPr>
              <w:t>2、产废单位现场收集</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指派专业的运输及装卸人员至产废单位进行收集。危险废物在运输前按照《危险废物转移联单管理办法》以及有关规定办理转移手续，并按每批转移单的数量、品种进行交接。帮助产废单位采取科学的废物贮存措施，装运危险废物的容器根据危险废物的不同特性而设计，采用不易破损、变形、老化，能有效防止渗漏、扩散的装置；装有危险废物的容器贴上《危险废物贮存污染物控制标准》</w:t>
            </w:r>
            <w:r>
              <w:rPr>
                <w:rFonts w:ascii="仿宋" w:eastAsia="仿宋" w:hAnsi="仿宋" w:cs="仿宋" w:hint="eastAsia"/>
                <w:sz w:val="24"/>
              </w:rPr>
              <w:t>（GB18597-2001）及其修改单</w:t>
            </w:r>
            <w:r>
              <w:rPr>
                <w:rFonts w:ascii="仿宋" w:eastAsia="仿宋" w:hAnsi="仿宋" w:cs="仿宋" w:hint="eastAsia"/>
                <w:bCs/>
                <w:sz w:val="24"/>
              </w:rPr>
              <w:t>中要求的标签，标签上详细标明危险废物的名称、重量、成分、特性、装入日期以及发生泄漏、扩散污染事故时的应急措施和补救方法。</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危险废物包装执行《危险货物运输包装通用技术条件》（GB12463-2009）、《危险货物包装标志》（GB190-2009）及《危险货物道路运输规则 第4部分：运输包装使用要求》（JT/T617.4-2018）中的要求。</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sz w:val="24"/>
              </w:rPr>
              <w:t>本项目收集危险废物的包装容器（袋）均由产废单位准备。</w:t>
            </w:r>
            <w:r>
              <w:rPr>
                <w:rFonts w:ascii="仿宋" w:eastAsia="仿宋" w:hAnsi="仿宋" w:cs="仿宋" w:hint="eastAsia"/>
                <w:bCs/>
                <w:sz w:val="24"/>
              </w:rPr>
              <w:t>危险废物收集前需对包装容器和材料进行检查，主要检查内容如下：</w:t>
            </w:r>
          </w:p>
          <w:p w:rsidR="003A7B0C" w:rsidRDefault="00126ED1">
            <w:pPr>
              <w:numPr>
                <w:ilvl w:val="0"/>
                <w:numId w:val="8"/>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同一容器内不能有性质不兼容物质；</w:t>
            </w:r>
          </w:p>
          <w:p w:rsidR="003A7B0C" w:rsidRDefault="00126ED1">
            <w:pPr>
              <w:numPr>
                <w:ilvl w:val="0"/>
                <w:numId w:val="8"/>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检查包装材料的完整性，发现包装容器破损，及时采取措施清理更换；</w:t>
            </w:r>
          </w:p>
          <w:p w:rsidR="003A7B0C" w:rsidRDefault="00126ED1">
            <w:pPr>
              <w:numPr>
                <w:ilvl w:val="0"/>
                <w:numId w:val="8"/>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检查包装材料的密封性，发现有明显异味影响的危险废物，采取更换密封性高包装容器、大桶套小桶或者将污泥桶置于捆扎的塑料袋内胆中等方式减轻异味影响；</w:t>
            </w:r>
          </w:p>
          <w:p w:rsidR="003A7B0C" w:rsidRDefault="00126ED1">
            <w:pPr>
              <w:numPr>
                <w:ilvl w:val="0"/>
                <w:numId w:val="8"/>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检查危险废物检查标签，危险废物的包装上的标签至少有以下内容：废物产生单位、废物名称、重量、成分、危险废物特性、包装日期、接收日期；</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（5）检查包装材料外表残留物，发现包装容器外表面残留有废液、废渣等物质时，及时进行擦拭，沾染危险废物抹布作为危险废物一并装入其他容器内外运处置。</w:t>
            </w:r>
          </w:p>
          <w:p w:rsidR="003A7B0C" w:rsidRDefault="00126ED1">
            <w:pPr>
              <w:adjustRightInd w:val="0"/>
              <w:snapToGrid w:val="0"/>
              <w:spacing w:line="480" w:lineRule="exact"/>
              <w:ind w:firstLineChars="200" w:firstLine="482"/>
              <w:rPr>
                <w:rFonts w:ascii="仿宋" w:eastAsia="仿宋" w:hAnsi="仿宋" w:cs="仿宋"/>
                <w:bCs/>
                <w:sz w:val="24"/>
              </w:rPr>
            </w:pPr>
            <w:r>
              <w:rPr>
                <w:rFonts w:ascii="仿宋" w:eastAsia="仿宋" w:hAnsi="仿宋" w:cs="仿宋" w:hint="eastAsia"/>
                <w:b/>
                <w:sz w:val="24"/>
              </w:rPr>
              <w:lastRenderedPageBreak/>
              <w:t>3、运输</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本单位的服务范围主要是</w:t>
            </w:r>
            <w:r>
              <w:rPr>
                <w:rFonts w:ascii="仿宋" w:eastAsia="仿宋" w:hAnsi="仿宋" w:cs="仿宋" w:hint="eastAsia"/>
                <w:sz w:val="24"/>
              </w:rPr>
              <w:t>常州市内</w:t>
            </w:r>
            <w:r>
              <w:rPr>
                <w:rFonts w:ascii="仿宋" w:eastAsia="仿宋" w:hAnsi="仿宋" w:cs="仿宋" w:hint="eastAsia"/>
                <w:bCs/>
                <w:sz w:val="24"/>
              </w:rPr>
              <w:t>，运输距离较近（一般单程不超过100km，半天可回）。</w:t>
            </w:r>
          </w:p>
          <w:p w:rsidR="003A7B0C" w:rsidRDefault="00126ED1">
            <w:pPr>
              <w:numPr>
                <w:ilvl w:val="0"/>
                <w:numId w:val="9"/>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运输单位</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危险废物的运输任务委托具备危险废物运输资质的公司承担危险废物收运任务，由具备常州市道路运输管理处发放道路运输经营许可证的单位运输，经营范围包括危险货物运输。本项目危险废物的运输及处置均不在本次评价范围。</w:t>
            </w:r>
          </w:p>
          <w:p w:rsidR="003A7B0C" w:rsidRDefault="00126ED1">
            <w:pPr>
              <w:numPr>
                <w:ilvl w:val="0"/>
                <w:numId w:val="9"/>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运输、作业人员及管理制度</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驾驶员、押运员、装卸管理员需持有“危险品运输资格证”，每次运输前均再次进行有关安全知识的教育，包括所运输危险废物的性质、危险特征及处理运输途中可能发生意外事故和应采取的应急措施。</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危险废物装卸过程采取专业操作流程，做到轻拿轻放，保证货物不倾泻、翻出，装卸人员作业时穿着工作衣裤，佩戴耐酸碱手套、口罩等防护用品，无关人员远离作业区。</w:t>
            </w:r>
          </w:p>
          <w:p w:rsidR="003A7B0C" w:rsidRDefault="00126ED1">
            <w:pPr>
              <w:numPr>
                <w:ilvl w:val="0"/>
                <w:numId w:val="9"/>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运输路线</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采用汽车道路运输方式，运送路线的设置原则为尽可能选择车流、人流及周边人群较少的道路，尽可能减少经过河流水系的次数，尽可能不上高速公路，避开人口密集、交通拥挤地段。根据危废产生单位需处置量及地区分布、各地区交通路线及路况制定危废运输路线。</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危险废物收运车辆的行驶应严格按照当地公安部门与交通部门协商确定的行驶路线和行驶时段行驶。危险废物的收集频次依据危险废物产生量、危险废物产生单位到危险废物处理厂的距离、危险废物处理厂的能力、库存情况等确定，以定期收集为主，兼顾应急收集。运输路线应力求最短、对沿路影响小，避免转运过程中产生二次污染。所有运输车辆应按规定的行走路线运输，车辆安装GPS定位设施，车辆的运输情况反馈回处置厂的信息平台，显示车辆所在的位置，车况等，由信息中心可以向车辆发送指令。司机应配备专用的移动式通讯工具，一旦发生紧急事故，可以及时就地报警。</w:t>
            </w:r>
          </w:p>
          <w:p w:rsidR="003A7B0C" w:rsidRDefault="00126ED1">
            <w:pPr>
              <w:numPr>
                <w:ilvl w:val="0"/>
                <w:numId w:val="9"/>
              </w:num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运输工具</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运输车辆配备应与废物特征及运输量相符，兼顾安全可靠性和经济合理性，确保危险废物收集运输正常化。运输车辆在醒目处应标有特殊标志，告知公众为危险品运输车辆，以防运输途中发生被盗、丢失、流散等情况。</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lastRenderedPageBreak/>
              <w:t>（5）应急措施</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运输车辆应配备必要的应急处理器材和防护用品，如急救药箱、洗眼器、灭火器，液体废物运输车辆还应配备自吸泵等应急装备。押运人员应配备防护服、胶靴、长胶手套、眼罩等，运输特殊废物的车辆还应配备防毒面具。</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运输过程中一旦发生事故，及时封闭现场，同时上报主管部门和相关单位—环保、公安、消防、交通等部门，针对不同情况实施处理方案，尽快妥善处理，尽可能使影响降低到最低限度。</w:t>
            </w:r>
          </w:p>
          <w:p w:rsidR="003A7B0C" w:rsidRDefault="00126ED1">
            <w:pPr>
              <w:adjustRightInd w:val="0"/>
              <w:snapToGrid w:val="0"/>
              <w:spacing w:line="480" w:lineRule="exact"/>
              <w:ind w:firstLineChars="200" w:firstLine="482"/>
              <w:rPr>
                <w:rFonts w:ascii="仿宋" w:eastAsia="仿宋" w:hAnsi="仿宋" w:cs="仿宋"/>
                <w:b/>
                <w:bCs/>
                <w:sz w:val="24"/>
              </w:rPr>
            </w:pPr>
            <w:r>
              <w:rPr>
                <w:rFonts w:ascii="仿宋" w:eastAsia="仿宋" w:hAnsi="仿宋" w:cs="仿宋" w:hint="eastAsia"/>
                <w:b/>
                <w:bCs/>
                <w:sz w:val="24"/>
              </w:rPr>
              <w:t>4、厂内废物接收</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执行危险废物转移联单制度，现场交接时应核对危险废物的数量、种类、标识等，确认与危险废物转移联单是否相符，并对接收的废物及时登记，将进厂废物的数量、重量等有关信息输入计算机系统。</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检查包装材料的完整性、密封性和外表残留物情况，如出现不利于危废贮存的情况，采取和收集前检查相同的措施减缓不利情况的影响。</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检查确认完成后，进行危险废物的装卸，装卸过程遵守以下操作规范：</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①装卸的工作人员在装卸之前应充分了解和学习废物的危险特性，并配备适当的个人防护装备。</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②装卸区应配备必要的消防设备和设施，并设置明显的标志标识。</w:t>
            </w:r>
          </w:p>
          <w:p w:rsidR="003A7B0C" w:rsidRDefault="00126ED1">
            <w:pPr>
              <w:adjustRightInd w:val="0"/>
              <w:snapToGrid w:val="0"/>
              <w:spacing w:line="480" w:lineRule="exact"/>
              <w:ind w:firstLineChars="200" w:firstLine="482"/>
              <w:rPr>
                <w:rFonts w:ascii="仿宋" w:eastAsia="仿宋" w:hAnsi="仿宋" w:cs="仿宋"/>
                <w:b/>
                <w:bCs/>
                <w:sz w:val="24"/>
              </w:rPr>
            </w:pPr>
            <w:r>
              <w:rPr>
                <w:rFonts w:ascii="仿宋" w:eastAsia="仿宋" w:hAnsi="仿宋" w:cs="仿宋" w:hint="eastAsia"/>
                <w:b/>
                <w:bCs/>
                <w:noProof/>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11391900</wp:posOffset>
                      </wp:positionV>
                      <wp:extent cx="573405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73EDB03D" id="直接连接符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897pt" to="451.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"/>
                  </w:pict>
                </mc:Fallback>
              </mc:AlternateContent>
            </w:r>
            <w:r>
              <w:rPr>
                <w:rFonts w:ascii="仿宋" w:eastAsia="仿宋" w:hAnsi="仿宋" w:cs="仿宋" w:hint="eastAsia"/>
                <w:b/>
                <w:bCs/>
                <w:sz w:val="24"/>
              </w:rPr>
              <w:t>5、厂内危废贮存及仓库管理措施</w:t>
            </w:r>
          </w:p>
          <w:p w:rsidR="003A7B0C" w:rsidRDefault="00126ED1">
            <w:pPr>
              <w:spacing w:line="480" w:lineRule="exact"/>
              <w:ind w:firstLineChars="200" w:firstLine="480"/>
              <w:rPr>
                <w:rFonts w:ascii="仿宋" w:eastAsia="仿宋" w:hAnsi="仿宋" w:cs="仿宋"/>
                <w:bCs/>
                <w:sz w:val="24"/>
              </w:rPr>
            </w:pPr>
            <w:r>
              <w:rPr>
                <w:rFonts w:ascii="仿宋" w:eastAsia="仿宋" w:hAnsi="仿宋" w:cs="仿宋" w:hint="eastAsia"/>
                <w:bCs/>
                <w:sz w:val="24"/>
              </w:rPr>
              <w:t>危废贮存的全程不对其进行拆封、倾倒、分装、混装等操作，各类危险废物于室温下贮存。按照《危险废物贮存污染控制标准》（GB18597-2001）及其修改单的要求，仓库内设置隔间隔断，根据危废的不同种类及形态分类暂存或贮存，不相容危废分区贮存，每个隔间内的危废堆放层数不超过三层，堆高不超过3m。</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危废仓库贮存现场应设置专职管理人员，并有人员24h值班，安装连续视频监控设施，负责对危险废物的贮存进行管理和监控，管理人员应每天定时巡视仓库内危险废物的包装容器和贮存设施，发现破损立即采取措施清理更换。</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所有进出危险废物应建立详细的“危险废物进出台账”，记录上注明危险废物的名称、来源、数量、特性和包装容器的类别、收集日期、存放库位、出库日期及接收单位名称，并保留3年，保证危险废物无流失并彻底处置。</w:t>
            </w:r>
          </w:p>
          <w:p w:rsidR="003A7B0C" w:rsidRDefault="003A7B0C">
            <w:pPr>
              <w:pStyle w:val="Default"/>
              <w:rPr>
                <w:rFonts w:hint="default"/>
              </w:rPr>
            </w:pPr>
          </w:p>
          <w:p w:rsidR="003A7B0C" w:rsidRDefault="00126ED1">
            <w:pPr>
              <w:spacing w:line="480" w:lineRule="exact"/>
              <w:ind w:firstLineChars="200" w:firstLine="482"/>
              <w:rPr>
                <w:rFonts w:ascii="仿宋" w:eastAsia="仿宋" w:hAnsi="仿宋" w:cs="仿宋"/>
                <w:bCs/>
                <w:sz w:val="24"/>
              </w:rPr>
            </w:pPr>
            <w:r>
              <w:rPr>
                <w:rFonts w:ascii="仿宋" w:eastAsia="仿宋" w:hAnsi="仿宋" w:cs="仿宋" w:hint="eastAsia"/>
                <w:b/>
                <w:noProof/>
                <w:sz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11391900</wp:posOffset>
                      </wp:positionV>
                      <wp:extent cx="57340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3A7C43E3" id="直接连接符 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0,897pt" to="451.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"/>
                  </w:pict>
                </mc:Fallback>
              </mc:AlternateContent>
            </w:r>
            <w:r>
              <w:rPr>
                <w:rFonts w:ascii="仿宋" w:eastAsia="仿宋" w:hAnsi="仿宋" w:cs="仿宋" w:hint="eastAsia"/>
                <w:b/>
                <w:sz w:val="24"/>
              </w:rPr>
              <w:t>6、贮存危废出库</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lastRenderedPageBreak/>
              <w:t>本项目危险废物贮存周期一般不超过3个月，达到规定存量后转移出库，危废出库后的最终处置不属于本项目范围，最终处置去向为有资质危废处置单位。</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危废出库程序如下：</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①出库负责人接到由主管领导签发的出库通知单时，将出库内容通知到仓库管理人员；</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②库房管理人员穿戴好必要的防护用品，按操作要求，先在本库表格上登记后，将危险废物提出库房送到指定地点；</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③出库负责人复查通知单上已填写的、适当的处理处置方法，否则不予出库；</w:t>
            </w:r>
          </w:p>
          <w:p w:rsidR="003A7B0C" w:rsidRDefault="00126ED1">
            <w:pPr>
              <w:adjustRightInd w:val="0"/>
              <w:snapToGrid w:val="0"/>
              <w:spacing w:line="480" w:lineRule="exact"/>
              <w:ind w:firstLineChars="200" w:firstLine="480"/>
              <w:rPr>
                <w:rFonts w:ascii="仿宋" w:eastAsia="仿宋" w:hAnsi="仿宋" w:cs="仿宋"/>
                <w:bCs/>
                <w:sz w:val="24"/>
              </w:rPr>
            </w:pPr>
            <w:r>
              <w:rPr>
                <w:rFonts w:ascii="仿宋" w:eastAsia="仿宋" w:hAnsi="仿宋" w:cs="仿宋" w:hint="eastAsia"/>
                <w:bCs/>
                <w:sz w:val="24"/>
              </w:rPr>
              <w:t>④按入库时的要求检查包装、标志、标签及数量；</w:t>
            </w:r>
          </w:p>
          <w:p w:rsidR="003A7B0C" w:rsidRDefault="00126ED1">
            <w:pPr>
              <w:spacing w:line="360" w:lineRule="auto"/>
              <w:rPr>
                <w:rFonts w:ascii="仿宋" w:eastAsia="仿宋" w:hAnsi="仿宋" w:cs="仿宋"/>
                <w:sz w:val="28"/>
              </w:rPr>
            </w:pPr>
            <w:r>
              <w:rPr>
                <w:rFonts w:ascii="仿宋" w:eastAsia="仿宋" w:hAnsi="仿宋" w:cs="仿宋" w:hint="eastAsia"/>
                <w:bCs/>
                <w:sz w:val="24"/>
              </w:rPr>
              <w:t>⑤以上内容检验合格后，在出库通知单上签名并加盖单位出库专用章。</w:t>
            </w:r>
          </w:p>
          <w:p w:rsidR="003A7B0C" w:rsidRDefault="00126ED1">
            <w:pPr>
              <w:numPr>
                <w:ilvl w:val="0"/>
                <w:numId w:val="7"/>
              </w:numPr>
              <w:tabs>
                <w:tab w:val="left" w:pos="3233"/>
              </w:tabs>
              <w:spacing w:line="360" w:lineRule="auto"/>
              <w:rPr>
                <w:rFonts w:ascii="仿宋" w:eastAsia="仿宋" w:hAnsi="仿宋" w:cs="仿宋"/>
                <w:sz w:val="28"/>
              </w:rPr>
            </w:pPr>
            <w:r>
              <w:rPr>
                <w:rFonts w:ascii="仿宋" w:eastAsia="仿宋" w:hAnsi="仿宋" w:cs="仿宋" w:hint="eastAsia"/>
                <w:sz w:val="28"/>
              </w:rPr>
              <w:t>废物处置设备、设施</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本项目仅收集、贮存，不进行利用、处置，无处置工序。</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库内的危废与各有资质处置单位签定合同后处置、利用。</w:t>
            </w:r>
          </w:p>
          <w:p w:rsidR="003A7B0C" w:rsidRDefault="00126ED1">
            <w:pPr>
              <w:spacing w:line="360" w:lineRule="auto"/>
              <w:ind w:firstLineChars="200" w:firstLine="480"/>
              <w:rPr>
                <w:rFonts w:ascii="仿宋" w:eastAsia="仿宋" w:hAnsi="仿宋" w:cs="仿宋"/>
                <w:sz w:val="24"/>
                <w:szCs w:val="21"/>
              </w:rPr>
            </w:pPr>
            <w:r>
              <w:rPr>
                <w:rFonts w:ascii="仿宋" w:eastAsia="仿宋" w:hAnsi="仿宋" w:cs="仿宋" w:hint="eastAsia"/>
                <w:sz w:val="24"/>
                <w:szCs w:val="21"/>
              </w:rPr>
              <w:t>下表为收集、贮存设备设施</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24"/>
              <w:gridCol w:w="2580"/>
              <w:gridCol w:w="1239"/>
              <w:gridCol w:w="1350"/>
              <w:gridCol w:w="2836"/>
            </w:tblGrid>
            <w:tr w:rsidR="003A7B0C">
              <w:trPr>
                <w:trHeight w:val="315"/>
                <w:jc w:val="center"/>
              </w:trPr>
              <w:tc>
                <w:tcPr>
                  <w:tcW w:w="724" w:type="dxa"/>
                  <w:vAlign w:val="center"/>
                </w:tcPr>
                <w:p w:rsidR="003A7B0C" w:rsidRDefault="00126ED1">
                  <w:pPr>
                    <w:adjustRightInd w:val="0"/>
                    <w:snapToGrid w:val="0"/>
                    <w:spacing w:line="240" w:lineRule="exact"/>
                    <w:jc w:val="center"/>
                    <w:rPr>
                      <w:rFonts w:ascii="仿宋" w:eastAsia="仿宋" w:hAnsi="仿宋" w:cs="仿宋"/>
                      <w:b/>
                      <w:szCs w:val="21"/>
                    </w:rPr>
                  </w:pPr>
                  <w:r>
                    <w:rPr>
                      <w:rFonts w:ascii="仿宋" w:eastAsia="仿宋" w:hAnsi="仿宋" w:cs="仿宋" w:hint="eastAsia"/>
                      <w:b/>
                      <w:szCs w:val="21"/>
                    </w:rPr>
                    <w:t>序号</w:t>
                  </w:r>
                </w:p>
              </w:tc>
              <w:tc>
                <w:tcPr>
                  <w:tcW w:w="2580" w:type="dxa"/>
                  <w:vAlign w:val="center"/>
                </w:tcPr>
                <w:p w:rsidR="003A7B0C" w:rsidRDefault="00126ED1">
                  <w:pPr>
                    <w:adjustRightInd w:val="0"/>
                    <w:snapToGrid w:val="0"/>
                    <w:spacing w:line="240" w:lineRule="exact"/>
                    <w:jc w:val="center"/>
                    <w:rPr>
                      <w:rFonts w:ascii="仿宋" w:eastAsia="仿宋" w:hAnsi="仿宋" w:cs="仿宋"/>
                      <w:b/>
                      <w:szCs w:val="21"/>
                      <w:highlight w:val="yellow"/>
                    </w:rPr>
                  </w:pPr>
                  <w:r>
                    <w:rPr>
                      <w:rFonts w:ascii="仿宋" w:eastAsia="仿宋" w:hAnsi="仿宋" w:cs="仿宋" w:hint="eastAsia"/>
                      <w:b/>
                      <w:szCs w:val="21"/>
                    </w:rPr>
                    <w:t>名称</w:t>
                  </w:r>
                </w:p>
              </w:tc>
              <w:tc>
                <w:tcPr>
                  <w:tcW w:w="1239" w:type="dxa"/>
                  <w:vAlign w:val="center"/>
                </w:tcPr>
                <w:p w:rsidR="003A7B0C" w:rsidRDefault="00126ED1">
                  <w:pPr>
                    <w:adjustRightInd w:val="0"/>
                    <w:snapToGrid w:val="0"/>
                    <w:spacing w:line="240" w:lineRule="exact"/>
                    <w:jc w:val="center"/>
                    <w:rPr>
                      <w:rFonts w:ascii="仿宋" w:eastAsia="仿宋" w:hAnsi="仿宋" w:cs="仿宋"/>
                      <w:b/>
                      <w:szCs w:val="21"/>
                      <w:highlight w:val="yellow"/>
                    </w:rPr>
                  </w:pPr>
                  <w:r>
                    <w:rPr>
                      <w:rFonts w:ascii="仿宋" w:eastAsia="仿宋" w:hAnsi="仿宋" w:cs="仿宋" w:hint="eastAsia"/>
                      <w:b/>
                      <w:szCs w:val="21"/>
                    </w:rPr>
                    <w:t>规格型号</w:t>
                  </w:r>
                </w:p>
              </w:tc>
              <w:tc>
                <w:tcPr>
                  <w:tcW w:w="1350" w:type="dxa"/>
                  <w:vAlign w:val="center"/>
                </w:tcPr>
                <w:p w:rsidR="003A7B0C" w:rsidRDefault="00126ED1">
                  <w:pPr>
                    <w:adjustRightInd w:val="0"/>
                    <w:snapToGrid w:val="0"/>
                    <w:spacing w:line="240" w:lineRule="exact"/>
                    <w:jc w:val="center"/>
                    <w:rPr>
                      <w:rFonts w:ascii="仿宋" w:eastAsia="仿宋" w:hAnsi="仿宋" w:cs="仿宋"/>
                      <w:b/>
                      <w:szCs w:val="21"/>
                    </w:rPr>
                  </w:pPr>
                  <w:r>
                    <w:rPr>
                      <w:rFonts w:ascii="仿宋" w:eastAsia="仿宋" w:hAnsi="仿宋" w:cs="仿宋" w:hint="eastAsia"/>
                      <w:b/>
                      <w:szCs w:val="21"/>
                    </w:rPr>
                    <w:t>数量（台套）</w:t>
                  </w:r>
                </w:p>
              </w:tc>
              <w:tc>
                <w:tcPr>
                  <w:tcW w:w="2836" w:type="dxa"/>
                  <w:vAlign w:val="center"/>
                </w:tcPr>
                <w:p w:rsidR="003A7B0C" w:rsidRDefault="00126ED1">
                  <w:pPr>
                    <w:adjustRightInd w:val="0"/>
                    <w:snapToGrid w:val="0"/>
                    <w:spacing w:line="240" w:lineRule="exact"/>
                    <w:jc w:val="center"/>
                    <w:rPr>
                      <w:rFonts w:ascii="仿宋" w:eastAsia="仿宋" w:hAnsi="仿宋" w:cs="仿宋"/>
                      <w:b/>
                      <w:szCs w:val="21"/>
                    </w:rPr>
                  </w:pPr>
                  <w:r>
                    <w:rPr>
                      <w:rFonts w:ascii="仿宋" w:eastAsia="仿宋" w:hAnsi="仿宋" w:cs="仿宋" w:hint="eastAsia"/>
                      <w:b/>
                      <w:szCs w:val="21"/>
                    </w:rPr>
                    <w:t>备注</w:t>
                  </w:r>
                </w:p>
              </w:tc>
            </w:tr>
            <w:tr w:rsidR="003A7B0C">
              <w:trPr>
                <w:trHeight w:val="482"/>
                <w:jc w:val="center"/>
              </w:trPr>
              <w:tc>
                <w:tcPr>
                  <w:tcW w:w="724" w:type="dxa"/>
                  <w:vAlign w:val="center"/>
                </w:tcPr>
                <w:p w:rsidR="003A7B0C" w:rsidRDefault="00126ED1">
                  <w:pPr>
                    <w:adjustRightInd w:val="0"/>
                    <w:snapToGrid w:val="0"/>
                    <w:spacing w:line="240" w:lineRule="exact"/>
                    <w:jc w:val="center"/>
                    <w:rPr>
                      <w:rFonts w:ascii="仿宋" w:eastAsia="仿宋" w:hAnsi="仿宋" w:cs="仿宋"/>
                    </w:rPr>
                  </w:pPr>
                  <w:r>
                    <w:rPr>
                      <w:rFonts w:ascii="仿宋" w:eastAsia="仿宋" w:hAnsi="仿宋" w:cs="仿宋" w:hint="eastAsia"/>
                    </w:rPr>
                    <w:t>1</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叉车</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用于厂内运输，设防爆装置，不使用柴油叉车</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rPr>
                  </w:pPr>
                  <w:r>
                    <w:rPr>
                      <w:rFonts w:ascii="仿宋" w:eastAsia="仿宋" w:hAnsi="仿宋" w:cs="仿宋" w:hint="eastAsia"/>
                    </w:rPr>
                    <w:t>2</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电子磅</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用于称重</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3</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打包机</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用于加固危废包装</w:t>
                  </w:r>
                </w:p>
              </w:tc>
            </w:tr>
            <w:tr w:rsidR="003A7B0C">
              <w:trPr>
                <w:trHeight w:val="90"/>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4</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火焰原子吸收分光光度计</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用于检测</w:t>
                  </w:r>
                  <w:r>
                    <w:rPr>
                      <w:rFonts w:ascii="仿宋" w:eastAsia="仿宋" w:hAnsi="仿宋" w:cs="仿宋" w:hint="eastAsia"/>
                      <w:bCs/>
                      <w:szCs w:val="21"/>
                    </w:rPr>
                    <w:t>铅、镉</w:t>
                  </w:r>
                </w:p>
              </w:tc>
            </w:tr>
            <w:tr w:rsidR="003A7B0C">
              <w:trPr>
                <w:trHeight w:val="90"/>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5</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原子荧光光谱仪</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用于检测</w:t>
                  </w:r>
                  <w:r>
                    <w:rPr>
                      <w:rFonts w:ascii="仿宋" w:eastAsia="仿宋" w:hAnsi="仿宋" w:cs="仿宋" w:hint="eastAsia"/>
                      <w:bCs/>
                      <w:szCs w:val="21"/>
                    </w:rPr>
                    <w:t>砷、汞</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6</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闪点测定仪</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用于检测闪点</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7</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pH检测仪</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用于检测腐蚀性</w:t>
                  </w:r>
                </w:p>
              </w:tc>
            </w:tr>
            <w:tr w:rsidR="003A7B0C">
              <w:trPr>
                <w:trHeight w:val="90"/>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8</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紫外可见分光光度计</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用于检测氰化物、总氰化物</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9</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kern w:val="0"/>
                      <w:szCs w:val="21"/>
                    </w:rPr>
                    <w:t>气相色谱仪</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用于检测苯系物</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10</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超声波清洗机</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用于清洗容器</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szCs w:val="24"/>
                    </w:rPr>
                  </w:pPr>
                  <w:r>
                    <w:rPr>
                      <w:rFonts w:ascii="仿宋" w:eastAsia="仿宋" w:hAnsi="仿宋" w:cs="仿宋" w:hint="eastAsia"/>
                    </w:rPr>
                    <w:t>11</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电子天平</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用于称重</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rPr>
                  </w:pPr>
                  <w:r>
                    <w:rPr>
                      <w:rFonts w:ascii="仿宋" w:eastAsia="仿宋" w:hAnsi="仿宋" w:cs="仿宋" w:hint="eastAsia"/>
                    </w:rPr>
                    <w:t>12</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电烘箱</w:t>
                  </w:r>
                </w:p>
              </w:tc>
              <w:tc>
                <w:tcPr>
                  <w:tcW w:w="1239" w:type="dxa"/>
                  <w:vAlign w:val="center"/>
                </w:tcPr>
                <w:p w:rsidR="003A7B0C" w:rsidRDefault="00126ED1">
                  <w:pPr>
                    <w:widowControl/>
                    <w:spacing w:line="240" w:lineRule="exact"/>
                    <w:jc w:val="center"/>
                    <w:textAlignment w:val="center"/>
                    <w:rPr>
                      <w:rFonts w:ascii="仿宋" w:eastAsia="仿宋" w:hAnsi="仿宋" w:cs="仿宋"/>
                      <w:kern w:val="0"/>
                      <w:szCs w:val="21"/>
                    </w:rPr>
                  </w:pPr>
                  <w:r>
                    <w:rPr>
                      <w:rFonts w:ascii="仿宋" w:eastAsia="仿宋" w:hAnsi="仿宋" w:cs="仿宋" w:hint="eastAsia"/>
                      <w:kern w:val="0"/>
                      <w:szCs w:val="21"/>
                    </w:rPr>
                    <w:t>/</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1</w:t>
                  </w:r>
                </w:p>
              </w:tc>
              <w:tc>
                <w:tcPr>
                  <w:tcW w:w="2836" w:type="dxa"/>
                  <w:vAlign w:val="center"/>
                </w:tcPr>
                <w:p w:rsidR="003A7B0C" w:rsidRDefault="00126ED1">
                  <w:pPr>
                    <w:adjustRightInd w:val="0"/>
                    <w:snapToGrid w:val="0"/>
                    <w:spacing w:line="240" w:lineRule="exact"/>
                    <w:jc w:val="center"/>
                    <w:rPr>
                      <w:rFonts w:ascii="仿宋" w:eastAsia="仿宋" w:hAnsi="仿宋" w:cs="仿宋"/>
                      <w:szCs w:val="21"/>
                    </w:rPr>
                  </w:pPr>
                  <w:r>
                    <w:rPr>
                      <w:rFonts w:ascii="仿宋" w:eastAsia="仿宋" w:hAnsi="仿宋" w:cs="仿宋" w:hint="eastAsia"/>
                      <w:szCs w:val="21"/>
                    </w:rPr>
                    <w:t>用于器皿烘干</w:t>
                  </w:r>
                </w:p>
              </w:tc>
            </w:tr>
            <w:tr w:rsidR="003A7B0C">
              <w:trPr>
                <w:trHeight w:val="267"/>
                <w:jc w:val="center"/>
              </w:trPr>
              <w:tc>
                <w:tcPr>
                  <w:tcW w:w="724" w:type="dxa"/>
                  <w:vAlign w:val="center"/>
                </w:tcPr>
                <w:p w:rsidR="003A7B0C" w:rsidRDefault="00126ED1">
                  <w:pPr>
                    <w:adjustRightInd w:val="0"/>
                    <w:snapToGrid w:val="0"/>
                    <w:spacing w:line="240" w:lineRule="exact"/>
                    <w:jc w:val="center"/>
                    <w:rPr>
                      <w:rFonts w:ascii="仿宋" w:eastAsia="仿宋" w:hAnsi="仿宋" w:cs="仿宋"/>
                    </w:rPr>
                  </w:pPr>
                  <w:r>
                    <w:rPr>
                      <w:rFonts w:ascii="仿宋" w:eastAsia="仿宋" w:hAnsi="仿宋" w:cs="仿宋" w:hint="eastAsia"/>
                    </w:rPr>
                    <w:t>13</w:t>
                  </w:r>
                </w:p>
              </w:tc>
              <w:tc>
                <w:tcPr>
                  <w:tcW w:w="2580" w:type="dxa"/>
                  <w:vAlign w:val="center"/>
                </w:tcPr>
                <w:p w:rsidR="003A7B0C" w:rsidRDefault="00126ED1">
                  <w:pPr>
                    <w:spacing w:line="240" w:lineRule="exact"/>
                    <w:jc w:val="center"/>
                    <w:textAlignment w:val="center"/>
                    <w:rPr>
                      <w:rFonts w:ascii="仿宋" w:eastAsia="仿宋" w:hAnsi="仿宋" w:cs="仿宋"/>
                      <w:kern w:val="0"/>
                      <w:szCs w:val="21"/>
                    </w:rPr>
                  </w:pPr>
                  <w:r>
                    <w:rPr>
                      <w:rFonts w:ascii="仿宋" w:eastAsia="仿宋" w:hAnsi="仿宋" w:cs="仿宋" w:hint="eastAsia"/>
                    </w:rPr>
                    <w:t>碱喷淋+除雾器+二级活性炭吸附装置</w:t>
                  </w:r>
                </w:p>
              </w:tc>
              <w:tc>
                <w:tcPr>
                  <w:tcW w:w="1239" w:type="dxa"/>
                  <w:vAlign w:val="center"/>
                </w:tcPr>
                <w:p w:rsidR="003A7B0C" w:rsidRDefault="00126ED1">
                  <w:pPr>
                    <w:spacing w:line="240" w:lineRule="exact"/>
                    <w:jc w:val="center"/>
                    <w:rPr>
                      <w:rFonts w:ascii="仿宋" w:eastAsia="仿宋" w:hAnsi="仿宋" w:cs="仿宋"/>
                      <w:kern w:val="0"/>
                      <w:szCs w:val="21"/>
                    </w:rPr>
                  </w:pPr>
                  <w:r>
                    <w:rPr>
                      <w:rFonts w:ascii="仿宋" w:eastAsia="仿宋" w:hAnsi="仿宋" w:cs="仿宋" w:hint="eastAsia"/>
                    </w:rPr>
                    <w:t>30000m</w:t>
                  </w:r>
                  <w:r>
                    <w:rPr>
                      <w:rFonts w:ascii="仿宋" w:eastAsia="仿宋" w:hAnsi="仿宋" w:cs="仿宋" w:hint="eastAsia"/>
                      <w:vertAlign w:val="superscript"/>
                    </w:rPr>
                    <w:t>3</w:t>
                  </w:r>
                  <w:r>
                    <w:rPr>
                      <w:rFonts w:ascii="仿宋" w:eastAsia="仿宋" w:hAnsi="仿宋" w:cs="仿宋" w:hint="eastAsia"/>
                    </w:rPr>
                    <w:t>/h</w:t>
                  </w:r>
                </w:p>
              </w:tc>
              <w:tc>
                <w:tcPr>
                  <w:tcW w:w="1350"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rPr>
                    <w:t>1</w:t>
                  </w:r>
                </w:p>
              </w:tc>
              <w:tc>
                <w:tcPr>
                  <w:tcW w:w="2836" w:type="dxa"/>
                  <w:vAlign w:val="center"/>
                </w:tcPr>
                <w:p w:rsidR="003A7B0C" w:rsidRDefault="00126ED1">
                  <w:pPr>
                    <w:spacing w:line="240" w:lineRule="exact"/>
                    <w:jc w:val="center"/>
                    <w:rPr>
                      <w:rFonts w:ascii="仿宋" w:eastAsia="仿宋" w:hAnsi="仿宋" w:cs="仿宋"/>
                      <w:szCs w:val="21"/>
                    </w:rPr>
                  </w:pPr>
                  <w:r>
                    <w:rPr>
                      <w:rFonts w:ascii="仿宋" w:eastAsia="仿宋" w:hAnsi="仿宋" w:cs="仿宋" w:hint="eastAsia"/>
                      <w:szCs w:val="21"/>
                    </w:rPr>
                    <w:t>用于处理废气</w:t>
                  </w:r>
                </w:p>
              </w:tc>
            </w:tr>
          </w:tbl>
          <w:p w:rsidR="003A7B0C" w:rsidRDefault="003A7B0C">
            <w:pPr>
              <w:pStyle w:val="Default"/>
              <w:rPr>
                <w:rFonts w:ascii="仿宋" w:eastAsia="仿宋" w:hAnsi="仿宋" w:cs="仿宋" w:hint="default"/>
                <w:sz w:val="28"/>
              </w:rPr>
            </w:pPr>
          </w:p>
          <w:p w:rsidR="003A7B0C" w:rsidRDefault="003A7B0C">
            <w:pPr>
              <w:pStyle w:val="35"/>
              <w:rPr>
                <w:rFonts w:ascii="仿宋" w:eastAsia="仿宋" w:hAnsi="仿宋" w:cs="仿宋"/>
                <w:sz w:val="28"/>
              </w:rPr>
            </w:pPr>
          </w:p>
          <w:p w:rsidR="003A7B0C" w:rsidRDefault="003A7B0C">
            <w:pPr>
              <w:pStyle w:val="font6"/>
            </w:pPr>
          </w:p>
          <w:p w:rsidR="003A7B0C" w:rsidRDefault="003A7B0C">
            <w:pPr>
              <w:spacing w:line="360" w:lineRule="auto"/>
              <w:rPr>
                <w:rFonts w:ascii="仿宋" w:eastAsia="仿宋" w:hAnsi="仿宋" w:cs="仿宋"/>
                <w:sz w:val="28"/>
              </w:rPr>
            </w:pPr>
          </w:p>
        </w:tc>
      </w:tr>
      <w:tr w:rsidR="003A7B0C">
        <w:trPr>
          <w:trHeight w:val="985"/>
        </w:trPr>
        <w:tc>
          <w:tcPr>
            <w:tcW w:w="9116" w:type="dxa"/>
            <w:tcBorders>
              <w:bottom w:val="single" w:sz="4" w:space="0" w:color="auto"/>
            </w:tcBorders>
          </w:tcPr>
          <w:p w:rsidR="003A7B0C" w:rsidRDefault="00126ED1">
            <w:pPr>
              <w:tabs>
                <w:tab w:val="left" w:pos="3233"/>
              </w:tabs>
              <w:spacing w:line="360" w:lineRule="auto"/>
              <w:rPr>
                <w:rFonts w:ascii="仿宋" w:eastAsia="仿宋" w:hAnsi="仿宋" w:cs="仿宋"/>
                <w:sz w:val="24"/>
                <w:szCs w:val="24"/>
              </w:rPr>
            </w:pPr>
            <w:r>
              <w:rPr>
                <w:rFonts w:ascii="仿宋" w:eastAsia="仿宋" w:hAnsi="仿宋" w:cs="仿宋" w:hint="eastAsia"/>
                <w:sz w:val="24"/>
                <w:szCs w:val="24"/>
              </w:rPr>
              <w:lastRenderedPageBreak/>
              <w:t>污染防治措施及防治效果</w:t>
            </w:r>
          </w:p>
          <w:p w:rsidR="003A7B0C" w:rsidRDefault="00126ED1">
            <w:pPr>
              <w:spacing w:line="360" w:lineRule="auto"/>
              <w:rPr>
                <w:rFonts w:ascii="仿宋" w:eastAsia="仿宋" w:hAnsi="仿宋" w:cs="仿宋"/>
                <w:sz w:val="24"/>
                <w:szCs w:val="24"/>
              </w:rPr>
            </w:pPr>
            <w:r>
              <w:rPr>
                <w:rFonts w:ascii="仿宋" w:eastAsia="仿宋" w:hAnsi="仿宋" w:cs="仿宋" w:hint="eastAsia"/>
                <w:sz w:val="24"/>
                <w:szCs w:val="24"/>
              </w:rPr>
              <w:t>1、污染物产生情况</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废气产生：本项目危废贮存废气、实验室废气经收集后排入碱喷淋+除雾器+二级活性炭吸附装置处理达标后通过一根15m高排气筒（1#）排放，未捕集的贮存废气在贮存区内无组织排放。</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废水产生：本项目不产生生产废水排放量，实验室产生的废水与碱喷淋废液作为危废委外处置；</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固废产生：本项目运行期产生的次生危废委外处置。</w:t>
            </w:r>
          </w:p>
          <w:p w:rsidR="003A7B0C" w:rsidRDefault="00126ED1">
            <w:pPr>
              <w:spacing w:line="360" w:lineRule="auto"/>
              <w:rPr>
                <w:rFonts w:ascii="仿宋" w:eastAsia="仿宋" w:hAnsi="仿宋" w:cs="仿宋"/>
                <w:sz w:val="24"/>
                <w:szCs w:val="24"/>
              </w:rPr>
            </w:pPr>
            <w:r>
              <w:rPr>
                <w:rFonts w:ascii="仿宋" w:eastAsia="仿宋" w:hAnsi="仿宋" w:cs="仿宋" w:hint="eastAsia"/>
                <w:sz w:val="24"/>
                <w:szCs w:val="24"/>
              </w:rPr>
              <w:t>2、污染防治设施及工作原理</w:t>
            </w:r>
          </w:p>
          <w:p w:rsidR="003A7B0C" w:rsidRDefault="00126ED1">
            <w:pPr>
              <w:spacing w:line="360" w:lineRule="auto"/>
              <w:rPr>
                <w:rFonts w:ascii="仿宋" w:eastAsia="仿宋" w:hAnsi="仿宋" w:cs="仿宋"/>
                <w:sz w:val="24"/>
                <w:szCs w:val="24"/>
              </w:rPr>
            </w:pPr>
            <w:r>
              <w:rPr>
                <w:rFonts w:ascii="仿宋" w:eastAsia="仿宋" w:hAnsi="仿宋" w:cs="仿宋" w:hint="eastAsia"/>
                <w:sz w:val="24"/>
                <w:szCs w:val="24"/>
              </w:rPr>
              <w:t>①废气处理：</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本项目危废贮存废气、实验室废气经收集后排入碱喷淋+除雾器+二级活性炭吸附装置处理达标后通过一根15m高排气筒（1#）排放。</w:t>
            </w:r>
          </w:p>
          <w:p w:rsidR="003A7B0C" w:rsidRDefault="00126ED1">
            <w:pPr>
              <w:spacing w:line="360" w:lineRule="auto"/>
              <w:rPr>
                <w:rFonts w:ascii="仿宋" w:eastAsia="仿宋" w:hAnsi="仿宋" w:cs="仿宋"/>
                <w:sz w:val="24"/>
                <w:szCs w:val="24"/>
              </w:rPr>
            </w:pPr>
            <w:r>
              <w:rPr>
                <w:rFonts w:ascii="仿宋" w:eastAsia="仿宋" w:hAnsi="仿宋" w:cs="仿宋" w:hint="eastAsia"/>
                <w:sz w:val="24"/>
                <w:szCs w:val="24"/>
              </w:rPr>
              <w:t>②废水处理：</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本项目不产生生产废水排放量，实验室产生的废水与碱喷淋废液作为危废委外处置。</w:t>
            </w:r>
          </w:p>
          <w:p w:rsidR="003A7B0C" w:rsidRDefault="00126ED1">
            <w:pPr>
              <w:spacing w:line="360" w:lineRule="auto"/>
              <w:rPr>
                <w:rFonts w:ascii="仿宋" w:eastAsia="仿宋" w:hAnsi="仿宋" w:cs="仿宋"/>
                <w:sz w:val="24"/>
                <w:szCs w:val="24"/>
              </w:rPr>
            </w:pPr>
            <w:r>
              <w:rPr>
                <w:rFonts w:ascii="仿宋" w:eastAsia="仿宋" w:hAnsi="仿宋" w:cs="仿宋" w:hint="eastAsia"/>
                <w:sz w:val="24"/>
                <w:szCs w:val="24"/>
              </w:rPr>
              <w:t>③噪声防治：</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废气设施风机设置隔声罩、加碱水泵设置隔声罩等、高噪声设备尽量与场界保持一定的距离、加强绿化、运行车辆加强检修，避免因车辆发生故障而导致噪声增大。</w:t>
            </w:r>
          </w:p>
          <w:p w:rsidR="003A7B0C" w:rsidRDefault="00126ED1">
            <w:pPr>
              <w:spacing w:line="360" w:lineRule="auto"/>
              <w:rPr>
                <w:rFonts w:ascii="仿宋" w:eastAsia="仿宋" w:hAnsi="仿宋" w:cs="仿宋"/>
                <w:sz w:val="24"/>
                <w:szCs w:val="24"/>
              </w:rPr>
            </w:pPr>
            <w:r>
              <w:rPr>
                <w:rFonts w:ascii="仿宋" w:eastAsia="仿宋" w:hAnsi="仿宋" w:cs="仿宋" w:hint="eastAsia"/>
                <w:sz w:val="24"/>
                <w:szCs w:val="24"/>
              </w:rPr>
              <w:t>④固废处置：</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项目产生的危险固废主要是实验室废物、废药剂瓶、喷淋废液、废活性炭、含危险废物/药剂废弃物、废包装袋，均收集后暂存于危废贮存区，与项目收集危废共同委托有资质单位处置。</w:t>
            </w:r>
          </w:p>
          <w:p w:rsidR="003A7B0C" w:rsidRDefault="00126ED1">
            <w:pPr>
              <w:spacing w:line="360" w:lineRule="auto"/>
              <w:rPr>
                <w:rFonts w:ascii="仿宋" w:eastAsia="仿宋" w:hAnsi="仿宋" w:cs="仿宋"/>
                <w:sz w:val="24"/>
                <w:szCs w:val="24"/>
              </w:rPr>
            </w:pPr>
            <w:r>
              <w:rPr>
                <w:rFonts w:ascii="仿宋" w:eastAsia="仿宋" w:hAnsi="仿宋" w:cs="仿宋" w:hint="eastAsia"/>
                <w:sz w:val="24"/>
                <w:szCs w:val="24"/>
              </w:rPr>
              <w:t xml:space="preserve">3、污染防治效果（监测数据） </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本项目厂地已建设完成，本次经营许可证申请属于首次申请，现场未投运，但我公司已制定环境监测方案，并与相关检测单位签订了《委托环境监测协议》。</w:t>
            </w:r>
          </w:p>
          <w:p w:rsidR="003A7B0C" w:rsidRDefault="003A7B0C">
            <w:pPr>
              <w:pStyle w:val="Default"/>
              <w:rPr>
                <w:rFonts w:ascii="仿宋" w:eastAsia="仿宋" w:hAnsi="仿宋" w:cs="仿宋" w:hint="default"/>
                <w:szCs w:val="24"/>
              </w:rPr>
            </w:pPr>
          </w:p>
          <w:p w:rsidR="003A7B0C" w:rsidRDefault="003A7B0C">
            <w:pPr>
              <w:pStyle w:val="35"/>
              <w:rPr>
                <w:rFonts w:ascii="仿宋" w:eastAsia="仿宋" w:hAnsi="仿宋" w:cs="仿宋"/>
                <w:sz w:val="24"/>
                <w:szCs w:val="24"/>
              </w:rPr>
            </w:pPr>
          </w:p>
          <w:p w:rsidR="003A7B0C" w:rsidRDefault="003A7B0C">
            <w:pPr>
              <w:pStyle w:val="Default"/>
              <w:rPr>
                <w:rFonts w:hint="default"/>
              </w:rPr>
            </w:pPr>
          </w:p>
          <w:p w:rsidR="003A7B0C" w:rsidRDefault="003A7B0C">
            <w:pPr>
              <w:pStyle w:val="35"/>
            </w:pPr>
          </w:p>
          <w:p w:rsidR="003A7B0C" w:rsidRDefault="003A7B0C">
            <w:pPr>
              <w:pStyle w:val="font6"/>
            </w:pPr>
          </w:p>
        </w:tc>
      </w:tr>
      <w:tr w:rsidR="003A7B0C">
        <w:trPr>
          <w:trHeight w:val="974"/>
        </w:trPr>
        <w:tc>
          <w:tcPr>
            <w:tcW w:w="9116" w:type="dxa"/>
            <w:tcBorders>
              <w:bottom w:val="single" w:sz="4" w:space="0" w:color="auto"/>
            </w:tcBorders>
          </w:tcPr>
          <w:p w:rsidR="003A7B0C" w:rsidRDefault="00126ED1">
            <w:pPr>
              <w:spacing w:line="360" w:lineRule="auto"/>
              <w:jc w:val="left"/>
              <w:rPr>
                <w:rFonts w:ascii="仿宋" w:eastAsia="仿宋" w:hAnsi="仿宋" w:cs="仿宋"/>
                <w:sz w:val="28"/>
                <w:szCs w:val="28"/>
              </w:rPr>
            </w:pPr>
            <w:r>
              <w:rPr>
                <w:rFonts w:ascii="仿宋" w:eastAsia="仿宋" w:hAnsi="仿宋" w:cs="仿宋" w:hint="eastAsia"/>
                <w:sz w:val="28"/>
                <w:szCs w:val="28"/>
              </w:rPr>
              <w:lastRenderedPageBreak/>
              <w:t>预防和处理污染事故和其它突发性事件的方案和资金保障计划</w:t>
            </w:r>
          </w:p>
          <w:p w:rsidR="003A7B0C" w:rsidRDefault="00126ED1">
            <w:pPr>
              <w:numPr>
                <w:ilvl w:val="0"/>
                <w:numId w:val="10"/>
              </w:numPr>
              <w:spacing w:line="360" w:lineRule="auto"/>
              <w:jc w:val="left"/>
              <w:rPr>
                <w:rFonts w:ascii="仿宋" w:eastAsia="仿宋" w:hAnsi="仿宋" w:cs="仿宋"/>
                <w:sz w:val="28"/>
                <w:szCs w:val="28"/>
              </w:rPr>
            </w:pPr>
            <w:r>
              <w:rPr>
                <w:rFonts w:ascii="仿宋" w:eastAsia="仿宋" w:hAnsi="仿宋" w:cs="仿宋" w:hint="eastAsia"/>
                <w:sz w:val="28"/>
                <w:szCs w:val="28"/>
              </w:rPr>
              <w:t>废物分析的主要仪器、设备及分析项目</w:t>
            </w:r>
          </w:p>
          <w:tbl>
            <w:tblPr>
              <w:tblStyle w:val="ae"/>
              <w:tblW w:w="8715" w:type="dxa"/>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905"/>
              <w:gridCol w:w="2763"/>
              <w:gridCol w:w="3047"/>
            </w:tblGrid>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控制指标</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监测仪器</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监测方法</w:t>
                  </w:r>
                </w:p>
              </w:tc>
            </w:tr>
            <w:tr w:rsidR="003A7B0C">
              <w:trPr>
                <w:trHeight w:val="400"/>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砷</w:t>
                  </w:r>
                </w:p>
              </w:tc>
              <w:tc>
                <w:tcPr>
                  <w:tcW w:w="2763" w:type="dxa"/>
                  <w:vMerge w:val="restart"/>
                  <w:tcBorders>
                    <w:tl2br w:val="nil"/>
                    <w:tr2bl w:val="nil"/>
                  </w:tcBorders>
                  <w:vAlign w:val="center"/>
                </w:tcPr>
                <w:p w:rsidR="003A7B0C" w:rsidRDefault="00126ED1">
                  <w:pPr>
                    <w:spacing w:line="240" w:lineRule="exact"/>
                    <w:jc w:val="center"/>
                    <w:textAlignment w:val="center"/>
                    <w:rPr>
                      <w:rFonts w:ascii="仿宋" w:eastAsia="仿宋" w:hAnsi="仿宋" w:cs="仿宋"/>
                      <w:sz w:val="24"/>
                      <w:szCs w:val="24"/>
                    </w:rPr>
                  </w:pPr>
                  <w:r>
                    <w:rPr>
                      <w:rFonts w:ascii="仿宋" w:eastAsia="仿宋" w:hAnsi="仿宋" w:cs="仿宋" w:hint="eastAsia"/>
                      <w:sz w:val="24"/>
                      <w:szCs w:val="24"/>
                    </w:rPr>
                    <w:t>原子荧光光谱仪</w:t>
                  </w:r>
                </w:p>
              </w:tc>
              <w:tc>
                <w:tcPr>
                  <w:tcW w:w="3047" w:type="dxa"/>
                  <w:vMerge w:val="restart"/>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固体废物 汞、砷、硒、铋、锑的测定 微波消解/原子荧光法（HJ702-2014）</w:t>
                  </w:r>
                </w:p>
              </w:tc>
            </w:tr>
            <w:tr w:rsidR="003A7B0C">
              <w:trPr>
                <w:trHeight w:val="90"/>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汞</w:t>
                  </w:r>
                </w:p>
              </w:tc>
              <w:tc>
                <w:tcPr>
                  <w:tcW w:w="2763" w:type="dxa"/>
                  <w:vMerge/>
                  <w:tcBorders>
                    <w:tl2br w:val="nil"/>
                    <w:tr2bl w:val="nil"/>
                  </w:tcBorders>
                  <w:vAlign w:val="center"/>
                </w:tcPr>
                <w:p w:rsidR="003A7B0C" w:rsidRDefault="003A7B0C">
                  <w:pPr>
                    <w:spacing w:line="240" w:lineRule="exact"/>
                    <w:jc w:val="center"/>
                    <w:textAlignment w:val="center"/>
                    <w:rPr>
                      <w:rFonts w:ascii="仿宋" w:eastAsia="仿宋" w:hAnsi="仿宋" w:cs="仿宋"/>
                      <w:sz w:val="24"/>
                      <w:szCs w:val="24"/>
                    </w:rPr>
                  </w:pPr>
                </w:p>
              </w:tc>
              <w:tc>
                <w:tcPr>
                  <w:tcW w:w="3047" w:type="dxa"/>
                  <w:vMerge/>
                  <w:tcBorders>
                    <w:tl2br w:val="nil"/>
                    <w:tr2bl w:val="nil"/>
                  </w:tcBorders>
                  <w:vAlign w:val="center"/>
                </w:tcPr>
                <w:p w:rsidR="003A7B0C" w:rsidRDefault="003A7B0C">
                  <w:pPr>
                    <w:adjustRightInd w:val="0"/>
                    <w:snapToGrid w:val="0"/>
                    <w:jc w:val="center"/>
                    <w:rPr>
                      <w:rFonts w:ascii="仿宋" w:eastAsia="仿宋" w:hAnsi="仿宋" w:cs="仿宋"/>
                      <w:sz w:val="24"/>
                      <w:szCs w:val="24"/>
                    </w:rPr>
                  </w:pPr>
                </w:p>
              </w:tc>
            </w:tr>
            <w:tr w:rsidR="003A7B0C">
              <w:trPr>
                <w:trHeight w:val="402"/>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铅</w:t>
                  </w:r>
                </w:p>
              </w:tc>
              <w:tc>
                <w:tcPr>
                  <w:tcW w:w="2763" w:type="dxa"/>
                  <w:vMerge w:val="restart"/>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火焰原子吸收分光光度计</w:t>
                  </w:r>
                </w:p>
              </w:tc>
              <w:tc>
                <w:tcPr>
                  <w:tcW w:w="3047" w:type="dxa"/>
                  <w:vMerge w:val="restart"/>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固体废物 铅、锌和镉的测定 火焰原子吸收分光光度法（HJ786-2016）</w:t>
                  </w:r>
                </w:p>
              </w:tc>
            </w:tr>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镉</w:t>
                  </w:r>
                </w:p>
              </w:tc>
              <w:tc>
                <w:tcPr>
                  <w:tcW w:w="2763" w:type="dxa"/>
                  <w:vMerge/>
                  <w:tcBorders>
                    <w:tl2br w:val="nil"/>
                    <w:tr2bl w:val="nil"/>
                  </w:tcBorders>
                  <w:vAlign w:val="center"/>
                </w:tcPr>
                <w:p w:rsidR="003A7B0C" w:rsidRDefault="003A7B0C">
                  <w:pPr>
                    <w:spacing w:line="240" w:lineRule="exact"/>
                    <w:jc w:val="center"/>
                    <w:textAlignment w:val="center"/>
                    <w:rPr>
                      <w:rFonts w:ascii="仿宋" w:eastAsia="仿宋" w:hAnsi="仿宋" w:cs="仿宋"/>
                      <w:sz w:val="24"/>
                      <w:szCs w:val="24"/>
                    </w:rPr>
                  </w:pPr>
                </w:p>
              </w:tc>
              <w:tc>
                <w:tcPr>
                  <w:tcW w:w="3047" w:type="dxa"/>
                  <w:vMerge/>
                  <w:tcBorders>
                    <w:tl2br w:val="nil"/>
                    <w:tr2bl w:val="nil"/>
                  </w:tcBorders>
                  <w:vAlign w:val="center"/>
                </w:tcPr>
                <w:p w:rsidR="003A7B0C" w:rsidRDefault="003A7B0C">
                  <w:pPr>
                    <w:adjustRightInd w:val="0"/>
                    <w:snapToGrid w:val="0"/>
                    <w:jc w:val="center"/>
                    <w:rPr>
                      <w:rFonts w:ascii="仿宋" w:eastAsia="仿宋" w:hAnsi="仿宋" w:cs="仿宋"/>
                      <w:sz w:val="24"/>
                      <w:szCs w:val="24"/>
                    </w:rPr>
                  </w:pPr>
                </w:p>
              </w:tc>
            </w:tr>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氰化物、总氰化物</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紫外可见分光光度计</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固体废物 氰化物的测定 容量法和分光光度法（征求意见稿）</w:t>
                  </w:r>
                </w:p>
              </w:tc>
            </w:tr>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苯系物</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sz w:val="24"/>
                      <w:szCs w:val="24"/>
                    </w:rPr>
                    <w:t>气相色谱仪</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sz w:val="24"/>
                      <w:szCs w:val="24"/>
                    </w:rPr>
                    <w:t>固体废物 苯系物的测定 顶空-气相色谱法（HJ975-2018）</w:t>
                  </w:r>
                </w:p>
              </w:tc>
            </w:tr>
            <w:tr w:rsidR="003A7B0C">
              <w:trPr>
                <w:trHeight w:val="378"/>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闪点</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闪点测定仪</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w:t>
                  </w:r>
                </w:p>
              </w:tc>
            </w:tr>
            <w:tr w:rsidR="003A7B0C">
              <w:trPr>
                <w:jc w:val="center"/>
              </w:trPr>
              <w:tc>
                <w:tcPr>
                  <w:tcW w:w="2905"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pH</w:t>
                  </w:r>
                </w:p>
              </w:tc>
              <w:tc>
                <w:tcPr>
                  <w:tcW w:w="2763"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pH检测仪</w:t>
                  </w:r>
                </w:p>
              </w:tc>
              <w:tc>
                <w:tcPr>
                  <w:tcW w:w="3047" w:type="dxa"/>
                  <w:tcBorders>
                    <w:tl2br w:val="nil"/>
                    <w:tr2bl w:val="nil"/>
                  </w:tcBorders>
                  <w:vAlign w:val="center"/>
                </w:tcPr>
                <w:p w:rsidR="003A7B0C" w:rsidRDefault="00126ED1">
                  <w:pPr>
                    <w:adjustRightInd w:val="0"/>
                    <w:snapToGrid w:val="0"/>
                    <w:jc w:val="center"/>
                    <w:rPr>
                      <w:rFonts w:ascii="仿宋" w:eastAsia="仿宋" w:hAnsi="仿宋" w:cs="仿宋"/>
                      <w:sz w:val="24"/>
                      <w:szCs w:val="24"/>
                    </w:rPr>
                  </w:pPr>
                  <w:r>
                    <w:rPr>
                      <w:rFonts w:ascii="仿宋" w:eastAsia="仿宋" w:hAnsi="仿宋" w:cs="仿宋" w:hint="eastAsia"/>
                      <w:sz w:val="24"/>
                      <w:szCs w:val="24"/>
                    </w:rPr>
                    <w:t>固体废物 腐蚀性测定 玻璃电极法（GB/T15555.12-1995）</w:t>
                  </w:r>
                </w:p>
              </w:tc>
            </w:tr>
          </w:tbl>
          <w:p w:rsidR="003A7B0C" w:rsidRDefault="00126ED1">
            <w:pPr>
              <w:numPr>
                <w:ilvl w:val="0"/>
                <w:numId w:val="10"/>
              </w:numPr>
              <w:spacing w:line="360" w:lineRule="auto"/>
              <w:jc w:val="left"/>
              <w:rPr>
                <w:rFonts w:ascii="仿宋" w:eastAsia="仿宋" w:hAnsi="仿宋" w:cs="仿宋"/>
                <w:sz w:val="28"/>
                <w:szCs w:val="28"/>
              </w:rPr>
            </w:pPr>
            <w:r>
              <w:rPr>
                <w:rFonts w:ascii="仿宋" w:eastAsia="仿宋" w:hAnsi="仿宋" w:cs="仿宋" w:hint="eastAsia"/>
                <w:sz w:val="28"/>
                <w:szCs w:val="28"/>
              </w:rPr>
              <w:t>安全、保卫措施</w:t>
            </w:r>
          </w:p>
          <w:p w:rsidR="003A7B0C" w:rsidRDefault="00126ED1">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库房独立，与其他区域采用隔墙隔开，库房采用隔墙与其他区域连通的通道隔离开来；库房布置了全程监控系统，24 小时不间断监控库房、物流通道、物流通道出入口，确保所有危废的出入库全程监控。配备有专门的管理人员进行管理。</w:t>
            </w:r>
          </w:p>
          <w:p w:rsidR="003A7B0C" w:rsidRDefault="00126ED1">
            <w:pPr>
              <w:numPr>
                <w:ilvl w:val="0"/>
                <w:numId w:val="10"/>
              </w:numPr>
              <w:spacing w:line="360" w:lineRule="auto"/>
              <w:jc w:val="left"/>
              <w:rPr>
                <w:rFonts w:ascii="仿宋" w:eastAsia="仿宋" w:hAnsi="仿宋" w:cs="仿宋"/>
                <w:sz w:val="28"/>
                <w:szCs w:val="28"/>
              </w:rPr>
            </w:pPr>
            <w:r>
              <w:rPr>
                <w:rFonts w:ascii="仿宋" w:eastAsia="仿宋" w:hAnsi="仿宋" w:cs="仿宋" w:hint="eastAsia"/>
                <w:sz w:val="28"/>
                <w:szCs w:val="28"/>
              </w:rPr>
              <w:t>内部检查监督管理措施</w:t>
            </w:r>
          </w:p>
          <w:p w:rsidR="003A7B0C" w:rsidRDefault="00126ED1">
            <w:pPr>
              <w:spacing w:line="360" w:lineRule="auto"/>
              <w:ind w:firstLineChars="100" w:firstLine="240"/>
              <w:jc w:val="left"/>
              <w:rPr>
                <w:rFonts w:ascii="仿宋" w:eastAsia="仿宋" w:hAnsi="仿宋" w:cs="仿宋"/>
                <w:sz w:val="24"/>
                <w:szCs w:val="24"/>
              </w:rPr>
            </w:pPr>
            <w:r>
              <w:rPr>
                <w:rFonts w:ascii="仿宋" w:eastAsia="仿宋" w:hAnsi="仿宋" w:cs="仿宋" w:hint="eastAsia"/>
                <w:sz w:val="24"/>
                <w:szCs w:val="24"/>
              </w:rPr>
              <w:t>公司设置有危废管理小组，制定检查方案，由HSE办公室主导，定期对生产经营过程中针对以下情况进行排查：</w:t>
            </w:r>
          </w:p>
          <w:p w:rsidR="003A7B0C" w:rsidRDefault="00126ED1">
            <w:pPr>
              <w:spacing w:line="360" w:lineRule="auto"/>
              <w:jc w:val="left"/>
              <w:rPr>
                <w:rFonts w:ascii="仿宋" w:eastAsia="仿宋" w:hAnsi="仿宋" w:cs="仿宋"/>
                <w:sz w:val="24"/>
                <w:szCs w:val="24"/>
              </w:rPr>
            </w:pPr>
            <w:r>
              <w:rPr>
                <w:rFonts w:ascii="仿宋" w:eastAsia="仿宋" w:hAnsi="仿宋" w:cs="仿宋" w:hint="eastAsia"/>
                <w:sz w:val="24"/>
                <w:szCs w:val="24"/>
              </w:rPr>
              <w:t>①危险废物装卸区等易发生泄漏的区域是否存在泄漏；</w:t>
            </w:r>
          </w:p>
          <w:p w:rsidR="003A7B0C" w:rsidRDefault="00126ED1">
            <w:pPr>
              <w:spacing w:line="360" w:lineRule="auto"/>
              <w:jc w:val="left"/>
              <w:rPr>
                <w:rFonts w:ascii="仿宋" w:eastAsia="仿宋" w:hAnsi="仿宋" w:cs="仿宋"/>
                <w:sz w:val="24"/>
                <w:szCs w:val="24"/>
              </w:rPr>
            </w:pPr>
            <w:r>
              <w:rPr>
                <w:rFonts w:ascii="仿宋" w:eastAsia="仿宋" w:hAnsi="仿宋" w:cs="仿宋" w:hint="eastAsia"/>
                <w:sz w:val="24"/>
                <w:szCs w:val="24"/>
              </w:rPr>
              <w:t>②危废贮存设施及附属设备（如泵、阀门、管道）是否存在泄漏和无组织排放；</w:t>
            </w:r>
          </w:p>
          <w:p w:rsidR="003A7B0C" w:rsidRDefault="00126ED1">
            <w:pPr>
              <w:spacing w:line="360" w:lineRule="auto"/>
              <w:jc w:val="left"/>
              <w:rPr>
                <w:rFonts w:ascii="仿宋" w:eastAsia="仿宋" w:hAnsi="仿宋" w:cs="仿宋"/>
                <w:sz w:val="24"/>
                <w:szCs w:val="24"/>
              </w:rPr>
            </w:pPr>
            <w:r>
              <w:rPr>
                <w:rFonts w:ascii="仿宋" w:eastAsia="仿宋" w:hAnsi="仿宋" w:cs="仿宋" w:hint="eastAsia"/>
                <w:sz w:val="24"/>
                <w:szCs w:val="24"/>
              </w:rPr>
              <w:t>③消防通道是否畅通；</w:t>
            </w:r>
          </w:p>
          <w:p w:rsidR="003A7B0C" w:rsidRDefault="00126ED1">
            <w:pPr>
              <w:spacing w:line="360" w:lineRule="auto"/>
              <w:jc w:val="left"/>
              <w:rPr>
                <w:rFonts w:ascii="仿宋" w:eastAsia="仿宋" w:hAnsi="仿宋" w:cs="仿宋"/>
                <w:sz w:val="24"/>
                <w:szCs w:val="24"/>
              </w:rPr>
            </w:pPr>
            <w:r>
              <w:rPr>
                <w:rFonts w:ascii="仿宋" w:eastAsia="仿宋" w:hAnsi="仿宋" w:cs="仿宋" w:hint="eastAsia"/>
                <w:sz w:val="24"/>
                <w:szCs w:val="24"/>
              </w:rPr>
              <w:t>④污染防治设施是否正常运行；</w:t>
            </w:r>
          </w:p>
          <w:p w:rsidR="003A7B0C" w:rsidRDefault="00126ED1">
            <w:pPr>
              <w:spacing w:line="360" w:lineRule="auto"/>
              <w:jc w:val="left"/>
              <w:rPr>
                <w:rFonts w:ascii="仿宋" w:eastAsia="仿宋" w:hAnsi="仿宋" w:cs="仿宋"/>
                <w:sz w:val="24"/>
                <w:szCs w:val="24"/>
              </w:rPr>
            </w:pPr>
            <w:r>
              <w:rPr>
                <w:rFonts w:ascii="仿宋" w:eastAsia="仿宋" w:hAnsi="仿宋" w:cs="仿宋" w:hint="eastAsia"/>
                <w:sz w:val="24"/>
                <w:szCs w:val="24"/>
              </w:rPr>
              <w:t>⑤危险废物收集过程、贮存场所是否存在分类不规范现象。</w:t>
            </w:r>
          </w:p>
          <w:p w:rsidR="003A7B0C" w:rsidRDefault="00126ED1">
            <w:pPr>
              <w:numPr>
                <w:ilvl w:val="0"/>
                <w:numId w:val="10"/>
              </w:numPr>
              <w:spacing w:line="360" w:lineRule="auto"/>
              <w:jc w:val="left"/>
              <w:rPr>
                <w:rFonts w:ascii="仿宋" w:eastAsia="仿宋" w:hAnsi="仿宋" w:cs="仿宋"/>
                <w:sz w:val="28"/>
                <w:szCs w:val="28"/>
              </w:rPr>
            </w:pPr>
            <w:r>
              <w:rPr>
                <w:rFonts w:ascii="仿宋" w:eastAsia="仿宋" w:hAnsi="仿宋" w:cs="仿宋" w:hint="eastAsia"/>
                <w:sz w:val="28"/>
                <w:szCs w:val="28"/>
              </w:rPr>
              <w:t>人员培训及持证上岗情况</w:t>
            </w:r>
          </w:p>
          <w:p w:rsidR="003A7B0C" w:rsidRDefault="00126ED1">
            <w:pPr>
              <w:spacing w:line="360" w:lineRule="auto"/>
              <w:ind w:firstLineChars="100" w:firstLine="240"/>
              <w:jc w:val="left"/>
              <w:rPr>
                <w:rFonts w:ascii="仿宋" w:eastAsia="仿宋" w:hAnsi="仿宋" w:cs="仿宋"/>
                <w:sz w:val="24"/>
                <w:szCs w:val="24"/>
              </w:rPr>
            </w:pPr>
            <w:r>
              <w:rPr>
                <w:rFonts w:ascii="仿宋" w:eastAsia="仿宋" w:hAnsi="仿宋" w:cs="仿宋" w:hint="eastAsia"/>
                <w:sz w:val="24"/>
                <w:szCs w:val="24"/>
              </w:rPr>
              <w:t>公司现有环境工程和环境科学相关专业的工程师3名以上，具有专业技术资格证书，并持证上岗。</w:t>
            </w:r>
          </w:p>
          <w:p w:rsidR="003A7B0C" w:rsidRDefault="00126ED1">
            <w:pPr>
              <w:spacing w:line="360" w:lineRule="auto"/>
              <w:ind w:firstLineChars="100" w:firstLine="240"/>
              <w:jc w:val="left"/>
              <w:rPr>
                <w:rFonts w:ascii="仿宋" w:eastAsia="仿宋" w:hAnsi="仿宋" w:cs="仿宋"/>
                <w:sz w:val="24"/>
                <w:szCs w:val="24"/>
              </w:rPr>
            </w:pPr>
            <w:r>
              <w:rPr>
                <w:rFonts w:ascii="仿宋" w:eastAsia="仿宋" w:hAnsi="仿宋" w:cs="仿宋" w:hint="eastAsia"/>
                <w:sz w:val="24"/>
                <w:szCs w:val="24"/>
              </w:rPr>
              <w:lastRenderedPageBreak/>
              <w:t>库房应急救援人员具有安全员证书，叉车操作员有叉车操作证书，其他特殊工种需经培训合格后，方可持证上岗。</w:t>
            </w:r>
          </w:p>
          <w:p w:rsidR="003A7B0C" w:rsidRDefault="00126ED1">
            <w:pPr>
              <w:numPr>
                <w:ilvl w:val="0"/>
                <w:numId w:val="10"/>
              </w:numPr>
              <w:spacing w:line="360" w:lineRule="auto"/>
              <w:jc w:val="left"/>
              <w:rPr>
                <w:rFonts w:ascii="仿宋" w:eastAsia="仿宋" w:hAnsi="仿宋" w:cs="仿宋"/>
                <w:sz w:val="28"/>
                <w:szCs w:val="28"/>
              </w:rPr>
            </w:pPr>
            <w:r>
              <w:rPr>
                <w:rFonts w:ascii="仿宋" w:eastAsia="仿宋" w:hAnsi="仿宋" w:cs="仿宋" w:hint="eastAsia"/>
                <w:sz w:val="28"/>
                <w:szCs w:val="28"/>
              </w:rPr>
              <w:t>意外突发事故应急措施</w:t>
            </w:r>
          </w:p>
          <w:p w:rsidR="003A7B0C" w:rsidRDefault="00126ED1">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我公司参照《危险废物经营单位编制应急预案指南》，编制了《江苏鸿晖环保再生资源利用有限公司突发环境事件应急预案》，制定了意外事故的防范措施和应急预案，安排应急专项资金，用于隐患排查整改、危险源监控、应急队伍建设、物资设备购置、应急预案演练、应急知识培训和宣传教育等工作。建厂以来从未发生意外突发事故。</w:t>
            </w:r>
          </w:p>
          <w:p w:rsidR="003A7B0C" w:rsidRDefault="00126ED1">
            <w:pPr>
              <w:spacing w:line="360" w:lineRule="auto"/>
              <w:jc w:val="left"/>
              <w:rPr>
                <w:rFonts w:ascii="仿宋" w:eastAsia="仿宋" w:hAnsi="仿宋" w:cs="仿宋"/>
                <w:sz w:val="24"/>
                <w:szCs w:val="24"/>
              </w:rPr>
            </w:pPr>
            <w:r>
              <w:rPr>
                <w:rFonts w:ascii="仿宋" w:eastAsia="仿宋" w:hAnsi="仿宋" w:cs="仿宋" w:hint="eastAsia"/>
                <w:sz w:val="24"/>
                <w:szCs w:val="24"/>
              </w:rPr>
              <w:t>①收集过程泄漏事故处置：装卸过程如发生失误导致周转箱出现碰撞等，应及时检查周转箱是否完好，如发现破损，应立即将其内危废转移至完好的周转箱内，破损包装的危废单独安置，并将周转箱加盖；破损包装的危废与完好危废的周转箱均设置标识，以方便区分、分类处置。</w:t>
            </w:r>
          </w:p>
          <w:p w:rsidR="003A7B0C" w:rsidRDefault="00126ED1">
            <w:pPr>
              <w:spacing w:line="360" w:lineRule="auto"/>
              <w:jc w:val="left"/>
              <w:rPr>
                <w:rFonts w:ascii="仿宋" w:eastAsia="仿宋" w:hAnsi="仿宋" w:cs="仿宋"/>
                <w:sz w:val="24"/>
                <w:szCs w:val="24"/>
              </w:rPr>
            </w:pPr>
            <w:r>
              <w:rPr>
                <w:rFonts w:ascii="仿宋" w:eastAsia="仿宋" w:hAnsi="仿宋" w:cs="仿宋" w:hint="eastAsia"/>
                <w:sz w:val="24"/>
                <w:szCs w:val="24"/>
              </w:rPr>
              <w:t>②运输过程事故处置：危废包装发生破损且周转箱出现损坏，应立即进行处置，将周转箱内完好危废转移至备用周转箱内，破损包装危废安置于专用的破损包装危废周转箱内，处置过程产生的废物单独存放于备用暂存箱内，破损包装危废及泄漏处置废物运送至暂存车间，分类暂存，最终运送至处置单位处置。</w:t>
            </w:r>
          </w:p>
          <w:p w:rsidR="003A7B0C" w:rsidRDefault="00126ED1">
            <w:pPr>
              <w:numPr>
                <w:ilvl w:val="0"/>
                <w:numId w:val="10"/>
              </w:numPr>
              <w:spacing w:line="360" w:lineRule="auto"/>
              <w:jc w:val="left"/>
              <w:rPr>
                <w:rFonts w:ascii="仿宋" w:eastAsia="仿宋" w:hAnsi="仿宋" w:cs="仿宋"/>
                <w:sz w:val="28"/>
                <w:szCs w:val="28"/>
              </w:rPr>
            </w:pPr>
            <w:r>
              <w:rPr>
                <w:rFonts w:ascii="仿宋" w:eastAsia="仿宋" w:hAnsi="仿宋" w:cs="仿宋" w:hint="eastAsia"/>
                <w:sz w:val="28"/>
                <w:szCs w:val="28"/>
              </w:rPr>
              <w:t>环境监测措施</w:t>
            </w:r>
          </w:p>
          <w:p w:rsidR="003A7B0C" w:rsidRDefault="00126ED1">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2025年我公司与有资质的第三方监测单位（华睿检测科技（常州）有限公司）签订了《委托监测合同》，委托该单位定期对我公司各排口的污染物排放情况进行监测。</w:t>
            </w:r>
          </w:p>
          <w:p w:rsidR="003A7B0C" w:rsidRDefault="00126ED1">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我公司制定了各项管理制度，加强对监测工作的管理，确保达标排放。</w:t>
            </w:r>
          </w:p>
          <w:p w:rsidR="003A7B0C" w:rsidRDefault="00126ED1">
            <w:pPr>
              <w:numPr>
                <w:ilvl w:val="0"/>
                <w:numId w:val="10"/>
              </w:numPr>
              <w:spacing w:line="360" w:lineRule="auto"/>
              <w:jc w:val="left"/>
              <w:rPr>
                <w:rFonts w:ascii="仿宋" w:eastAsia="仿宋" w:hAnsi="仿宋" w:cs="仿宋"/>
                <w:sz w:val="28"/>
                <w:szCs w:val="28"/>
              </w:rPr>
            </w:pPr>
            <w:r>
              <w:rPr>
                <w:rFonts w:ascii="仿宋" w:eastAsia="仿宋" w:hAnsi="仿宋" w:cs="仿宋" w:hint="eastAsia"/>
                <w:sz w:val="28"/>
                <w:szCs w:val="28"/>
              </w:rPr>
              <w:t>发生意外突发事件，消除污染的资金保障措施</w:t>
            </w:r>
          </w:p>
          <w:p w:rsidR="003A7B0C" w:rsidRDefault="00126ED1" w:rsidP="0006001B">
            <w:pPr>
              <w:spacing w:line="360" w:lineRule="auto"/>
              <w:ind w:firstLineChars="157" w:firstLine="377"/>
              <w:jc w:val="left"/>
              <w:rPr>
                <w:rFonts w:ascii="仿宋" w:eastAsia="仿宋" w:hAnsi="仿宋" w:cs="仿宋"/>
                <w:sz w:val="24"/>
                <w:szCs w:val="24"/>
              </w:rPr>
            </w:pPr>
            <w:r>
              <w:rPr>
                <w:rFonts w:ascii="仿宋" w:eastAsia="仿宋" w:hAnsi="仿宋" w:cs="仿宋" w:hint="eastAsia"/>
                <w:sz w:val="24"/>
                <w:szCs w:val="24"/>
              </w:rPr>
              <w:t>本项目设置有专项应急保障资金，同时与中国人民财产保险股份有限公司签订了《环境污染责任保险》，保险项目及赔偿限额如下：每次事故及累计赔偿限额为200万元，每次事故每人赔偿限额为30万元，每人每次事故医疗费用赔偿限额为5万元，每次事故及累计清污费用赔偿限额-30%为60万元，每次事故及累计法律费用赔偿限额-5%为10万元，扩展污染救助费用保险每次事故及累计赔偿限额-15%为30万元，扩展疏散人群费用保险每次事故及累计赔偿限额15%为30万元，扩展自然灾害污染责任保险每次事故及累计赔偿限额-20%为40万元。用于发生意外突发事件，消除污染使用。</w:t>
            </w:r>
          </w:p>
          <w:p w:rsidR="003A7B0C" w:rsidRDefault="003A7B0C">
            <w:pPr>
              <w:pStyle w:val="Default"/>
              <w:rPr>
                <w:rFonts w:ascii="仿宋" w:eastAsia="仿宋" w:hAnsi="仿宋" w:cs="仿宋" w:hint="default"/>
                <w:szCs w:val="24"/>
              </w:rPr>
            </w:pPr>
          </w:p>
          <w:p w:rsidR="003A7B0C" w:rsidRDefault="003A7B0C">
            <w:pPr>
              <w:pStyle w:val="35"/>
            </w:pPr>
          </w:p>
        </w:tc>
      </w:tr>
      <w:tr w:rsidR="003A7B0C">
        <w:trPr>
          <w:trHeight w:val="146"/>
        </w:trPr>
        <w:tc>
          <w:tcPr>
            <w:tcW w:w="9116" w:type="dxa"/>
            <w:tcBorders>
              <w:top w:val="single" w:sz="4" w:space="0" w:color="auto"/>
              <w:left w:val="single" w:sz="4" w:space="0" w:color="auto"/>
              <w:bottom w:val="single" w:sz="4" w:space="0" w:color="auto"/>
              <w:right w:val="single" w:sz="4" w:space="0" w:color="auto"/>
            </w:tcBorders>
          </w:tcPr>
          <w:p w:rsidR="003A7B0C" w:rsidRDefault="00126ED1">
            <w:pPr>
              <w:spacing w:line="360" w:lineRule="auto"/>
              <w:jc w:val="left"/>
              <w:rPr>
                <w:rFonts w:ascii="仿宋" w:eastAsia="仿宋" w:hAnsi="仿宋" w:cs="仿宋"/>
                <w:sz w:val="28"/>
                <w:szCs w:val="28"/>
              </w:rPr>
            </w:pPr>
            <w:r>
              <w:rPr>
                <w:rFonts w:ascii="仿宋" w:eastAsia="仿宋" w:hAnsi="仿宋" w:cs="仿宋" w:hint="eastAsia"/>
                <w:sz w:val="28"/>
                <w:szCs w:val="28"/>
              </w:rPr>
              <w:lastRenderedPageBreak/>
              <w:t>周边环境简述及地理位置图</w:t>
            </w:r>
          </w:p>
          <w:p w:rsidR="003A7B0C" w:rsidRDefault="00126ED1">
            <w:pPr>
              <w:pStyle w:val="Default"/>
              <w:spacing w:line="360" w:lineRule="auto"/>
              <w:ind w:firstLineChars="200" w:firstLine="480"/>
              <w:rPr>
                <w:rFonts w:ascii="仿宋" w:eastAsia="仿宋" w:hAnsi="仿宋" w:cs="仿宋" w:hint="default"/>
                <w:szCs w:val="24"/>
              </w:rPr>
            </w:pPr>
            <w:r>
              <w:rPr>
                <w:rFonts w:ascii="仿宋" w:eastAsia="仿宋" w:hAnsi="仿宋" w:cs="仿宋"/>
                <w:szCs w:val="24"/>
              </w:rPr>
              <w:t>项目所在区域北面为余家坝路，隔路为江苏丽车木业有限公司，东面为江苏贝菲自动化仪表有限公司，南面为江苏南洋中京科技有限公司，西侧为江苏创轩幕墙有限公司。</w:t>
            </w:r>
          </w:p>
          <w:p w:rsidR="003A7B0C" w:rsidRDefault="00126ED1">
            <w:pPr>
              <w:spacing w:line="360" w:lineRule="auto"/>
            </w:pPr>
            <w:r>
              <w:rPr>
                <w:noProof/>
              </w:rPr>
              <w:drawing>
                <wp:inline distT="0" distB="0" distL="114300" distR="114300">
                  <wp:extent cx="5647690" cy="2821940"/>
                  <wp:effectExtent l="0" t="0" r="6350" b="12700"/>
                  <wp:docPr id="3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7"/>
                          <pic:cNvPicPr>
                            <a:picLocks noChangeAspect="1"/>
                          </pic:cNvPicPr>
                        </pic:nvPicPr>
                        <pic:blipFill>
                          <a:blip r:embed="rId11"/>
                          <a:stretch>
                            <a:fillRect/>
                          </a:stretch>
                        </pic:blipFill>
                        <pic:spPr>
                          <a:xfrm>
                            <a:off x="0" y="0"/>
                            <a:ext cx="5647690" cy="2821940"/>
                          </a:xfrm>
                          <a:prstGeom prst="rect">
                            <a:avLst/>
                          </a:prstGeom>
                          <a:noFill/>
                          <a:ln>
                            <a:noFill/>
                          </a:ln>
                        </pic:spPr>
                      </pic:pic>
                    </a:graphicData>
                  </a:graphic>
                </wp:inline>
              </w:drawing>
            </w:r>
          </w:p>
          <w:p w:rsidR="003A7B0C" w:rsidRDefault="003A7B0C">
            <w:pPr>
              <w:spacing w:line="360" w:lineRule="auto"/>
              <w:jc w:val="left"/>
            </w:pPr>
          </w:p>
          <w:p w:rsidR="003A7B0C" w:rsidRDefault="003A7B0C">
            <w:pPr>
              <w:pStyle w:val="Default"/>
              <w:rPr>
                <w:rFonts w:hint="default"/>
              </w:rPr>
            </w:pPr>
          </w:p>
          <w:p w:rsidR="003A7B0C" w:rsidRDefault="003A7B0C">
            <w:pPr>
              <w:pStyle w:val="35"/>
            </w:pPr>
          </w:p>
          <w:p w:rsidR="003A7B0C" w:rsidRDefault="003A7B0C">
            <w:pPr>
              <w:pStyle w:val="font6"/>
            </w:pPr>
          </w:p>
          <w:p w:rsidR="003A7B0C" w:rsidRDefault="003A7B0C">
            <w:pPr>
              <w:pStyle w:val="20"/>
            </w:pPr>
          </w:p>
          <w:p w:rsidR="003A7B0C" w:rsidRDefault="003A7B0C"/>
          <w:p w:rsidR="003A7B0C" w:rsidRDefault="003A7B0C">
            <w:pPr>
              <w:pStyle w:val="Default"/>
              <w:rPr>
                <w:rFonts w:hint="default"/>
              </w:rPr>
            </w:pPr>
          </w:p>
          <w:p w:rsidR="003A7B0C" w:rsidRDefault="003A7B0C">
            <w:pPr>
              <w:pStyle w:val="35"/>
            </w:pPr>
          </w:p>
          <w:p w:rsidR="003A7B0C" w:rsidRDefault="003A7B0C">
            <w:pPr>
              <w:pStyle w:val="font6"/>
            </w:pPr>
          </w:p>
          <w:p w:rsidR="003A7B0C" w:rsidRDefault="003A7B0C">
            <w:pPr>
              <w:pStyle w:val="20"/>
            </w:pPr>
          </w:p>
          <w:p w:rsidR="003A7B0C" w:rsidRDefault="003A7B0C"/>
          <w:p w:rsidR="003A7B0C" w:rsidRDefault="003A7B0C">
            <w:pPr>
              <w:pStyle w:val="Default"/>
              <w:rPr>
                <w:rFonts w:hint="default"/>
              </w:rPr>
            </w:pPr>
          </w:p>
          <w:p w:rsidR="003A7B0C" w:rsidRDefault="003A7B0C">
            <w:pPr>
              <w:pStyle w:val="35"/>
            </w:pPr>
          </w:p>
          <w:p w:rsidR="003A7B0C" w:rsidRDefault="003A7B0C">
            <w:pPr>
              <w:pStyle w:val="font6"/>
            </w:pPr>
          </w:p>
          <w:p w:rsidR="003A7B0C" w:rsidRDefault="003A7B0C">
            <w:pPr>
              <w:pStyle w:val="20"/>
            </w:pPr>
          </w:p>
          <w:p w:rsidR="003A7B0C" w:rsidRDefault="003A7B0C">
            <w:pPr>
              <w:pStyle w:val="35"/>
              <w:ind w:firstLine="0"/>
            </w:pPr>
          </w:p>
        </w:tc>
      </w:tr>
      <w:tr w:rsidR="003A7B0C">
        <w:trPr>
          <w:trHeight w:val="974"/>
        </w:trPr>
        <w:tc>
          <w:tcPr>
            <w:tcW w:w="9116" w:type="dxa"/>
            <w:tcBorders>
              <w:top w:val="single" w:sz="4" w:space="0" w:color="auto"/>
            </w:tcBorders>
          </w:tcPr>
          <w:p w:rsidR="003A7B0C" w:rsidRDefault="00126ED1">
            <w:pPr>
              <w:spacing w:line="360" w:lineRule="auto"/>
              <w:jc w:val="left"/>
              <w:rPr>
                <w:rFonts w:ascii="仿宋" w:eastAsia="仿宋" w:hAnsi="仿宋" w:cs="仿宋"/>
                <w:sz w:val="28"/>
              </w:rPr>
            </w:pPr>
            <w:r>
              <w:rPr>
                <w:rFonts w:ascii="仿宋" w:eastAsia="仿宋" w:hAnsi="仿宋" w:cs="仿宋" w:hint="eastAsia"/>
                <w:sz w:val="28"/>
              </w:rPr>
              <w:lastRenderedPageBreak/>
              <w:t>厂区布局说明及平面布置图</w:t>
            </w:r>
          </w:p>
          <w:p w:rsidR="003A7B0C" w:rsidRDefault="00126ED1">
            <w:pPr>
              <w:spacing w:line="360" w:lineRule="auto"/>
              <w:ind w:firstLineChars="200" w:firstLine="480"/>
              <w:jc w:val="left"/>
              <w:rPr>
                <w:rFonts w:ascii="仿宋" w:eastAsia="仿宋" w:hAnsi="仿宋" w:cs="仿宋"/>
                <w:sz w:val="24"/>
                <w:szCs w:val="21"/>
              </w:rPr>
            </w:pPr>
            <w:r>
              <w:rPr>
                <w:rFonts w:ascii="仿宋" w:eastAsia="仿宋" w:hAnsi="仿宋" w:cs="仿宋" w:hint="eastAsia"/>
                <w:sz w:val="24"/>
                <w:szCs w:val="21"/>
              </w:rPr>
              <w:t>本项目位于</w:t>
            </w:r>
            <w:r>
              <w:rPr>
                <w:rFonts w:ascii="仿宋" w:eastAsia="仿宋" w:hAnsi="仿宋" w:cs="仿宋"/>
                <w:sz w:val="24"/>
                <w:szCs w:val="21"/>
              </w:rPr>
              <w:t>位于溧阳市埭头镇工业园区荣晖路1号</w:t>
            </w:r>
            <w:r>
              <w:rPr>
                <w:rFonts w:ascii="仿宋" w:eastAsia="仿宋" w:hAnsi="仿宋" w:cs="仿宋" w:hint="eastAsia"/>
                <w:sz w:val="24"/>
                <w:szCs w:val="21"/>
              </w:rPr>
              <w:t>。占地面积：贮存场所总共800平方，该厂房原为空置厂房。</w:t>
            </w:r>
          </w:p>
          <w:p w:rsidR="003A7B0C" w:rsidRDefault="00126ED1">
            <w:pPr>
              <w:spacing w:line="360" w:lineRule="auto"/>
              <w:jc w:val="center"/>
            </w:pPr>
            <w:r>
              <w:rPr>
                <w:noProof/>
              </w:rPr>
              <w:drawing>
                <wp:inline distT="0" distB="0" distL="114300" distR="114300">
                  <wp:extent cx="8013700" cy="4138295"/>
                  <wp:effectExtent l="0" t="0" r="6985" b="25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tretch>
                            <a:fillRect/>
                          </a:stretch>
                        </pic:blipFill>
                        <pic:spPr>
                          <a:xfrm rot="5400000">
                            <a:off x="0" y="0"/>
                            <a:ext cx="8013700" cy="4138295"/>
                          </a:xfrm>
                          <a:prstGeom prst="rect">
                            <a:avLst/>
                          </a:prstGeom>
                          <a:noFill/>
                          <a:ln>
                            <a:noFill/>
                          </a:ln>
                        </pic:spPr>
                      </pic:pic>
                    </a:graphicData>
                  </a:graphic>
                </wp:inline>
              </w:drawing>
            </w:r>
          </w:p>
        </w:tc>
      </w:tr>
      <w:tr w:rsidR="003A7B0C">
        <w:trPr>
          <w:trHeight w:val="482"/>
        </w:trPr>
        <w:tc>
          <w:tcPr>
            <w:tcW w:w="9116" w:type="dxa"/>
          </w:tcPr>
          <w:p w:rsidR="003A7B0C" w:rsidRDefault="00126ED1">
            <w:pPr>
              <w:jc w:val="left"/>
              <w:rPr>
                <w:rFonts w:ascii="仿宋" w:eastAsia="仿宋" w:hAnsi="仿宋" w:cs="仿宋"/>
                <w:sz w:val="28"/>
              </w:rPr>
            </w:pPr>
            <w:r>
              <w:rPr>
                <w:rFonts w:ascii="仿宋" w:eastAsia="仿宋" w:hAnsi="仿宋" w:cs="仿宋" w:hint="eastAsia"/>
                <w:sz w:val="28"/>
              </w:rPr>
              <w:lastRenderedPageBreak/>
              <w:t>考核综合意见：</w:t>
            </w: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126ED1">
            <w:pPr>
              <w:jc w:val="right"/>
              <w:rPr>
                <w:rFonts w:ascii="仿宋" w:eastAsia="仿宋" w:hAnsi="仿宋" w:cs="仿宋"/>
                <w:sz w:val="28"/>
              </w:rPr>
            </w:pPr>
            <w:r>
              <w:rPr>
                <w:rFonts w:ascii="仿宋" w:eastAsia="仿宋" w:hAnsi="仿宋" w:cs="仿宋" w:hint="eastAsia"/>
                <w:sz w:val="28"/>
              </w:rPr>
              <w:t xml:space="preserve">               </w:t>
            </w:r>
          </w:p>
          <w:p w:rsidR="003A7B0C" w:rsidRDefault="00126ED1">
            <w:pPr>
              <w:jc w:val="right"/>
              <w:rPr>
                <w:rFonts w:ascii="仿宋" w:eastAsia="仿宋" w:hAnsi="仿宋" w:cs="仿宋"/>
                <w:sz w:val="28"/>
              </w:rPr>
            </w:pPr>
            <w:r>
              <w:rPr>
                <w:rFonts w:ascii="仿宋" w:eastAsia="仿宋" w:hAnsi="仿宋" w:cs="仿宋" w:hint="eastAsia"/>
                <w:sz w:val="28"/>
              </w:rPr>
              <w:t xml:space="preserve">               年   月    日</w:t>
            </w:r>
          </w:p>
        </w:tc>
      </w:tr>
      <w:tr w:rsidR="003A7B0C">
        <w:trPr>
          <w:trHeight w:val="13618"/>
        </w:trPr>
        <w:tc>
          <w:tcPr>
            <w:tcW w:w="9116" w:type="dxa"/>
          </w:tcPr>
          <w:p w:rsidR="003A7B0C" w:rsidRDefault="00126ED1">
            <w:pPr>
              <w:jc w:val="left"/>
              <w:rPr>
                <w:rFonts w:ascii="仿宋" w:eastAsia="仿宋" w:hAnsi="仿宋" w:cs="仿宋"/>
                <w:sz w:val="28"/>
              </w:rPr>
            </w:pPr>
            <w:r>
              <w:rPr>
                <w:rFonts w:ascii="仿宋" w:eastAsia="仿宋" w:hAnsi="仿宋" w:cs="仿宋" w:hint="eastAsia"/>
                <w:sz w:val="28"/>
              </w:rPr>
              <w:lastRenderedPageBreak/>
              <w:t>市环保局审批意见：</w:t>
            </w: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3A7B0C">
            <w:pPr>
              <w:jc w:val="left"/>
              <w:rPr>
                <w:rFonts w:ascii="仿宋" w:eastAsia="仿宋" w:hAnsi="仿宋" w:cs="仿宋"/>
                <w:sz w:val="28"/>
              </w:rPr>
            </w:pPr>
          </w:p>
          <w:p w:rsidR="003A7B0C" w:rsidRDefault="00126ED1">
            <w:pPr>
              <w:jc w:val="left"/>
              <w:rPr>
                <w:rFonts w:ascii="仿宋" w:eastAsia="仿宋" w:hAnsi="仿宋" w:cs="仿宋"/>
                <w:sz w:val="28"/>
              </w:rPr>
            </w:pPr>
            <w:r>
              <w:rPr>
                <w:rFonts w:ascii="仿宋" w:eastAsia="仿宋" w:hAnsi="仿宋" w:cs="仿宋" w:hint="eastAsia"/>
                <w:sz w:val="28"/>
              </w:rPr>
              <w:t xml:space="preserve">                                                       （章）</w:t>
            </w:r>
          </w:p>
          <w:p w:rsidR="003A7B0C" w:rsidRDefault="00126ED1">
            <w:pPr>
              <w:jc w:val="left"/>
              <w:rPr>
                <w:rFonts w:ascii="仿宋" w:eastAsia="仿宋" w:hAnsi="仿宋" w:cs="仿宋"/>
                <w:sz w:val="28"/>
              </w:rPr>
            </w:pPr>
            <w:r>
              <w:rPr>
                <w:rFonts w:ascii="仿宋" w:eastAsia="仿宋" w:hAnsi="仿宋" w:cs="仿宋" w:hint="eastAsia"/>
                <w:sz w:val="28"/>
              </w:rPr>
              <w:t xml:space="preserve">                                                年    月   日</w:t>
            </w:r>
          </w:p>
        </w:tc>
      </w:tr>
    </w:tbl>
    <w:p w:rsidR="003A7B0C" w:rsidRDefault="003A7B0C">
      <w:pPr>
        <w:widowControl/>
        <w:jc w:val="left"/>
        <w:rPr>
          <w:rFonts w:ascii="仿宋" w:eastAsia="仿宋" w:hAnsi="仿宋" w:cs="仿宋"/>
        </w:rPr>
      </w:pPr>
    </w:p>
    <w:p w:rsidR="003A7B0C" w:rsidRDefault="003A7B0C">
      <w:pPr>
        <w:pStyle w:val="Default"/>
        <w:rPr>
          <w:rFonts w:hint="default"/>
        </w:rPr>
      </w:pPr>
    </w:p>
    <w:sectPr w:rsidR="003A7B0C">
      <w:headerReference w:type="default" r:id="rId13"/>
      <w:footerReference w:type="default" r:id="rId14"/>
      <w:pgSz w:w="11906" w:h="16838"/>
      <w:pgMar w:top="1040" w:right="1800" w:bottom="1098"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37C" w:rsidRDefault="00CC337C">
      <w:r>
        <w:separator/>
      </w:r>
    </w:p>
  </w:endnote>
  <w:endnote w:type="continuationSeparator" w:id="0">
    <w:p w:rsidR="00CC337C" w:rsidRDefault="00CC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766AB33B-9703-4E31-9F38-902093280ED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DA2D5F73-CFEA-4F16-BAA7-8EC503F5B01F}"/>
    <w:embedBold r:id="rId3" w:subsetted="1" w:fontKey="{8D41FB12-0467-4A41-BDFB-DC1E1A7623D9}"/>
  </w:font>
  <w:font w:name="Wingdings">
    <w:panose1 w:val="05000000000000000000"/>
    <w:charset w:val="02"/>
    <w:family w:val="auto"/>
    <w:pitch w:val="variable"/>
    <w:sig w:usb0="00000000" w:usb1="10000000" w:usb2="00000000" w:usb3="00000000" w:csb0="80000000" w:csb1="00000000"/>
  </w:font>
  <w:font w:name="方正仿宋_GBK">
    <w:panose1 w:val="03000509000000000000"/>
    <w:charset w:val="86"/>
    <w:family w:val="script"/>
    <w:pitch w:val="fixed"/>
    <w:sig w:usb0="00000001" w:usb1="080E0000" w:usb2="00000010" w:usb3="00000000" w:csb0="00040000" w:csb1="00000000"/>
    <w:embedRegular r:id="rId4" w:subsetted="1" w:fontKey="{A6B086DB-D603-44BB-BB9E-80EDFC6B5301}"/>
    <w:embedBold r:id="rId5" w:subsetted="1" w:fontKey="{AD367980-2E59-4641-AC17-1CB098C216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B0C" w:rsidRDefault="00126ED1">
    <w:pPr>
      <w:pStyle w:val="a9"/>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61620" cy="215265"/>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261620" cy="215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7B0C" w:rsidRDefault="00126ED1">
                          <w:pPr>
                            <w:pStyle w:val="a9"/>
                          </w:pPr>
                          <w:r>
                            <w:fldChar w:fldCharType="begin"/>
                          </w:r>
                          <w:r>
                            <w:instrText xml:space="preserve"> PAGE  \* MERGEFORMAT </w:instrText>
                          </w:r>
                          <w:r>
                            <w:fldChar w:fldCharType="separate"/>
                          </w:r>
                          <w:r w:rsidR="00F56774">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19" o:spid="_x0000_s1026" type="#_x0000_t202" style="position:absolute;margin-left:0;margin-top:0;width:20.6pt;height:16.9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" filled="f" stroked="f" strokeweight=".5pt">
              <v:textbox inset="0,0,0,0">
                <w:txbxContent>
                  <w:p w:rsidR="003A7B0C" w:rsidRDefault="00126ED1">
                    <w:pPr>
                      <w:pStyle w:val="a9"/>
                    </w:pPr>
                    <w:r>
                      <w:fldChar w:fldCharType="begin"/>
                    </w:r>
                    <w:r>
                      <w:instrText xml:space="preserve"> PAGE  \* MERGEFORMAT </w:instrText>
                    </w:r>
                    <w:r>
                      <w:fldChar w:fldCharType="separate"/>
                    </w:r>
                    <w:r w:rsidR="00F56774">
                      <w:rPr>
                        <w:noProof/>
                      </w:rPr>
                      <w:t>1</w:t>
                    </w:r>
                    <w:r>
                      <w:fldChar w:fldCharType="end"/>
                    </w:r>
                  </w:p>
                </w:txbxContent>
              </v:textbox>
              <w10:wrap anchorx="margin"/>
            </v:shape>
          </w:pict>
        </mc:Fallback>
      </mc:AlternateContent>
    </w:r>
    <w:r>
      <w:rPr>
        <w:rFonts w:hint="eastAsia"/>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B0C" w:rsidRDefault="00126ED1">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A7B0C" w:rsidRDefault="00126ED1">
                          <w:pPr>
                            <w:pStyle w:val="a9"/>
                          </w:pPr>
                          <w:r>
                            <w:fldChar w:fldCharType="begin"/>
                          </w:r>
                          <w:r>
                            <w:instrText xml:space="preserve"> PAGE  \* MERGEFORMAT </w:instrText>
                          </w:r>
                          <w:r>
                            <w:fldChar w:fldCharType="separate"/>
                          </w:r>
                          <w:r w:rsidR="00F56774">
                            <w:rPr>
                              <w:noProof/>
                            </w:rPr>
                            <w:t>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cjrQEAAEY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qTP/&#10;HfRHkjXS/DseaEE5c28DtbesysVIF2M3G6UUxlcPmepXWgX8DDXXpGFVYfNilW14+q5Zj+u//QU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N5K3I60BAABGAwAADgAAAAAAAAAAAAAAAAAuAgAAZHJzL2Uyb0RvYy54bWxQSwECLQAUAAYA&#10;CAAAACEADErw7tYAAAAFAQAADwAAAAAAAAAAAAAAAAAHBAAAZHJzL2Rvd25yZXYueG1sUEsFBgAA&#10;AAAEAAQA8wAAAAoFAAAAAA==&#10;" filled="f" stroked="f">
              <v:textbox style="mso-fit-shape-to-text:t" inset="0,0,0,0">
                <w:txbxContent>
                  <w:p w:rsidR="003A7B0C" w:rsidRDefault="00126ED1">
                    <w:pPr>
                      <w:pStyle w:val="a9"/>
                    </w:pPr>
                    <w:r>
                      <w:fldChar w:fldCharType="begin"/>
                    </w:r>
                    <w:r>
                      <w:instrText xml:space="preserve"> PAGE  \* MERGEFORMAT </w:instrText>
                    </w:r>
                    <w:r>
                      <w:fldChar w:fldCharType="separate"/>
                    </w:r>
                    <w:r w:rsidR="00F56774">
                      <w:rPr>
                        <w:noProof/>
                      </w:rPr>
                      <w:t>3</w:t>
                    </w:r>
                    <w:r>
                      <w:fldChar w:fldCharType="end"/>
                    </w:r>
                  </w:p>
                </w:txbxContent>
              </v:textbox>
              <w10:wrap anchorx="margin"/>
            </v:shape>
          </w:pict>
        </mc:Fallback>
      </mc:AlternateContent>
    </w:r>
    <w:r>
      <w:rPr>
        <w:rFonts w:hint="eastAsia"/>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B0C" w:rsidRDefault="00126ED1">
    <w:pPr>
      <w:pStyle w:val="a9"/>
      <w:jc w:val="center"/>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480EAA96" wp14:editId="75B31401">
              <wp:simplePos x="0" y="0"/>
              <wp:positionH relativeFrom="margin">
                <wp:align>center</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7B0C" w:rsidRDefault="00126ED1">
                          <w:pPr>
                            <w:pStyle w:val="a9"/>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F56774" w:rsidRPr="00F56774">
                            <w:rPr>
                              <w:rFonts w:ascii="Times New Roman" w:hAnsi="Times New Roman" w:cs="Times New Roman"/>
                              <w:noProof/>
                              <w:lang w:val="zh-CN"/>
                            </w:rPr>
                            <w:t>21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0EAA96" id="_x0000_t202" coordsize="21600,21600" o:spt="202" path="m,l,21600r21600,l21600,xe">
              <v:stroke joinstyle="miter"/>
              <v:path gradientshapeok="t" o:connecttype="rect"/>
            </v:shapetype>
            <v:shape id="文本框 327" o:spid="_x0000_s1028"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NKZgIAABUFAAAOAAAAZHJzL2Uyb0RvYy54bWysVE1uEzEU3iNxB8t7OmkqShR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Na7TSmYCAAAVBQAADgAAAAAAAAAAAAAAAAAuAgAAZHJzL2Uyb0Rv&#10;Yy54bWxQSwECLQAUAAYACAAAACEAcarRudcAAAAFAQAADwAAAAAAAAAAAAAAAADABAAAZHJzL2Rv&#10;d25yZXYueG1sUEsFBgAAAAAEAAQA8wAAAMQFAAAAAA==&#10;" filled="f" stroked="f" strokeweight=".5pt">
              <v:textbox style="mso-fit-shape-to-text:t" inset="0,0,0,0">
                <w:txbxContent>
                  <w:p w:rsidR="003A7B0C" w:rsidRDefault="00126ED1">
                    <w:pPr>
                      <w:pStyle w:val="a9"/>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F56774" w:rsidRPr="00F56774">
                      <w:rPr>
                        <w:rFonts w:ascii="Times New Roman" w:hAnsi="Times New Roman" w:cs="Times New Roman"/>
                        <w:noProof/>
                        <w:lang w:val="zh-CN"/>
                      </w:rPr>
                      <w:t>21</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37C" w:rsidRDefault="00CC337C">
      <w:r>
        <w:separator/>
      </w:r>
    </w:p>
  </w:footnote>
  <w:footnote w:type="continuationSeparator" w:id="0">
    <w:p w:rsidR="00CC337C" w:rsidRDefault="00CC33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B0C" w:rsidRDefault="003A7B0C">
    <w:pPr>
      <w:pStyle w:val="aa"/>
      <w:pBdr>
        <w:bottom w:val="none" w:sz="0"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EF795B"/>
    <w:multiLevelType w:val="singleLevel"/>
    <w:tmpl w:val="9CEF795B"/>
    <w:lvl w:ilvl="0">
      <w:start w:val="1"/>
      <w:numFmt w:val="decimal"/>
      <w:suff w:val="nothing"/>
      <w:lvlText w:val="（%1）"/>
      <w:lvlJc w:val="left"/>
    </w:lvl>
  </w:abstractNum>
  <w:abstractNum w:abstractNumId="1" w15:restartNumberingAfterBreak="0">
    <w:nsid w:val="F749D56C"/>
    <w:multiLevelType w:val="singleLevel"/>
    <w:tmpl w:val="F749D56C"/>
    <w:lvl w:ilvl="0">
      <w:start w:val="15"/>
      <w:numFmt w:val="chineseCounting"/>
      <w:suff w:val="nothing"/>
      <w:lvlText w:val="%1、"/>
      <w:lvlJc w:val="left"/>
      <w:rPr>
        <w:rFonts w:hint="eastAsia"/>
      </w:rPr>
    </w:lvl>
  </w:abstractNum>
  <w:abstractNum w:abstractNumId="2" w15:restartNumberingAfterBreak="0">
    <w:nsid w:val="08F5499C"/>
    <w:multiLevelType w:val="singleLevel"/>
    <w:tmpl w:val="08F5499C"/>
    <w:lvl w:ilvl="0">
      <w:start w:val="1"/>
      <w:numFmt w:val="decimal"/>
      <w:lvlText w:val="%1、"/>
      <w:lvlJc w:val="left"/>
      <w:pPr>
        <w:tabs>
          <w:tab w:val="left" w:pos="420"/>
        </w:tabs>
        <w:ind w:left="420" w:hanging="420"/>
      </w:pPr>
      <w:rPr>
        <w:rFonts w:hint="eastAsia"/>
      </w:rPr>
    </w:lvl>
  </w:abstractNum>
  <w:abstractNum w:abstractNumId="3" w15:restartNumberingAfterBreak="0">
    <w:nsid w:val="15B036B7"/>
    <w:multiLevelType w:val="singleLevel"/>
    <w:tmpl w:val="15B036B7"/>
    <w:lvl w:ilvl="0">
      <w:start w:val="1"/>
      <w:numFmt w:val="chineseCounting"/>
      <w:suff w:val="nothing"/>
      <w:lvlText w:val="%1、"/>
      <w:lvlJc w:val="left"/>
      <w:rPr>
        <w:rFonts w:hint="eastAsia"/>
      </w:rPr>
    </w:lvl>
  </w:abstractNum>
  <w:abstractNum w:abstractNumId="4" w15:restartNumberingAfterBreak="0">
    <w:nsid w:val="2A69271C"/>
    <w:multiLevelType w:val="singleLevel"/>
    <w:tmpl w:val="2A69271C"/>
    <w:lvl w:ilvl="0">
      <w:start w:val="1"/>
      <w:numFmt w:val="decimal"/>
      <w:lvlText w:val="%1、"/>
      <w:lvlJc w:val="left"/>
      <w:pPr>
        <w:tabs>
          <w:tab w:val="left" w:pos="420"/>
        </w:tabs>
        <w:ind w:left="420" w:hanging="420"/>
      </w:pPr>
      <w:rPr>
        <w:rFonts w:hint="eastAsia"/>
      </w:rPr>
    </w:lvl>
  </w:abstractNum>
  <w:abstractNum w:abstractNumId="5" w15:restartNumberingAfterBreak="0">
    <w:nsid w:val="3EF0502E"/>
    <w:multiLevelType w:val="singleLevel"/>
    <w:tmpl w:val="3EF0502E"/>
    <w:lvl w:ilvl="0">
      <w:start w:val="1"/>
      <w:numFmt w:val="decimal"/>
      <w:lvlText w:val="%1、"/>
      <w:lvlJc w:val="left"/>
      <w:pPr>
        <w:tabs>
          <w:tab w:val="left" w:pos="420"/>
        </w:tabs>
        <w:ind w:left="420" w:hanging="420"/>
      </w:pPr>
      <w:rPr>
        <w:rFonts w:hint="eastAsia"/>
      </w:rPr>
    </w:lvl>
  </w:abstractNum>
  <w:abstractNum w:abstractNumId="6" w15:restartNumberingAfterBreak="0">
    <w:nsid w:val="43192691"/>
    <w:multiLevelType w:val="singleLevel"/>
    <w:tmpl w:val="43192691"/>
    <w:lvl w:ilvl="0">
      <w:start w:val="6"/>
      <w:numFmt w:val="chineseCounting"/>
      <w:suff w:val="nothing"/>
      <w:lvlText w:val="%1、"/>
      <w:lvlJc w:val="left"/>
      <w:rPr>
        <w:rFonts w:hint="eastAsia"/>
      </w:rPr>
    </w:lvl>
  </w:abstractNum>
  <w:abstractNum w:abstractNumId="7" w15:restartNumberingAfterBreak="0">
    <w:nsid w:val="46B70C57"/>
    <w:multiLevelType w:val="singleLevel"/>
    <w:tmpl w:val="46B70C57"/>
    <w:lvl w:ilvl="0">
      <w:start w:val="1"/>
      <w:numFmt w:val="decimal"/>
      <w:lvlText w:val="%1、"/>
      <w:lvlJc w:val="left"/>
      <w:pPr>
        <w:tabs>
          <w:tab w:val="left" w:pos="420"/>
        </w:tabs>
        <w:ind w:left="420" w:hanging="420"/>
      </w:pPr>
      <w:rPr>
        <w:rFonts w:hint="eastAsia"/>
      </w:rPr>
    </w:lvl>
  </w:abstractNum>
  <w:abstractNum w:abstractNumId="8" w15:restartNumberingAfterBreak="0">
    <w:nsid w:val="5837F5F7"/>
    <w:multiLevelType w:val="singleLevel"/>
    <w:tmpl w:val="5837F5F7"/>
    <w:lvl w:ilvl="0">
      <w:start w:val="1"/>
      <w:numFmt w:val="decimal"/>
      <w:suff w:val="nothing"/>
      <w:lvlText w:val="（%1）"/>
      <w:lvlJc w:val="left"/>
    </w:lvl>
  </w:abstractNum>
  <w:abstractNum w:abstractNumId="9" w15:restartNumberingAfterBreak="0">
    <w:nsid w:val="65356078"/>
    <w:multiLevelType w:val="singleLevel"/>
    <w:tmpl w:val="65356078"/>
    <w:lvl w:ilvl="0">
      <w:start w:val="1"/>
      <w:numFmt w:val="decimal"/>
      <w:lvlText w:val="%1、"/>
      <w:lvlJc w:val="left"/>
      <w:pPr>
        <w:tabs>
          <w:tab w:val="left" w:pos="420"/>
        </w:tabs>
        <w:ind w:left="420" w:hanging="420"/>
      </w:pPr>
      <w:rPr>
        <w:rFonts w:hint="eastAsia"/>
      </w:rPr>
    </w:lvl>
  </w:abstractNum>
  <w:abstractNum w:abstractNumId="10" w15:restartNumberingAfterBreak="0">
    <w:nsid w:val="68B35D37"/>
    <w:multiLevelType w:val="multilevel"/>
    <w:tmpl w:val="68B35D3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CD75000"/>
    <w:multiLevelType w:val="singleLevel"/>
    <w:tmpl w:val="6CD75000"/>
    <w:lvl w:ilvl="0">
      <w:start w:val="1"/>
      <w:numFmt w:val="decimal"/>
      <w:lvlText w:val="%1、"/>
      <w:lvlJc w:val="left"/>
      <w:pPr>
        <w:tabs>
          <w:tab w:val="left" w:pos="420"/>
        </w:tabs>
        <w:ind w:left="420" w:hanging="420"/>
      </w:pPr>
      <w:rPr>
        <w:rFonts w:hint="eastAsia"/>
      </w:rPr>
    </w:lvl>
  </w:abstractNum>
  <w:num w:numId="1">
    <w:abstractNumId w:val="3"/>
  </w:num>
  <w:num w:numId="2">
    <w:abstractNumId w:val="10"/>
  </w:num>
  <w:num w:numId="3">
    <w:abstractNumId w:val="2"/>
  </w:num>
  <w:num w:numId="4">
    <w:abstractNumId w:val="5"/>
  </w:num>
  <w:num w:numId="5">
    <w:abstractNumId w:val="11"/>
  </w:num>
  <w:num w:numId="6">
    <w:abstractNumId w:val="7"/>
  </w:num>
  <w:num w:numId="7">
    <w:abstractNumId w:val="9"/>
  </w:num>
  <w:num w:numId="8">
    <w:abstractNumId w:val="0"/>
  </w:num>
  <w:num w:numId="9">
    <w:abstractNumId w:val="8"/>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embedTrueTypeFonts/>
  <w:saveSubset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zZWVmN2QzMmRjNTg0YmZkYTBlMzI1N2Q1YTE4ZTcifQ=="/>
  </w:docVars>
  <w:rsids>
    <w:rsidRoot w:val="003A7B0C"/>
    <w:rsid w:val="0006001B"/>
    <w:rsid w:val="00126ED1"/>
    <w:rsid w:val="003A7B0C"/>
    <w:rsid w:val="00CC337C"/>
    <w:rsid w:val="00F56774"/>
    <w:rsid w:val="01A510CB"/>
    <w:rsid w:val="0EAF4977"/>
    <w:rsid w:val="11E82148"/>
    <w:rsid w:val="17DB0567"/>
    <w:rsid w:val="1FC937E0"/>
    <w:rsid w:val="260E0A93"/>
    <w:rsid w:val="285A7A76"/>
    <w:rsid w:val="28876DC4"/>
    <w:rsid w:val="2A497700"/>
    <w:rsid w:val="2D3A5396"/>
    <w:rsid w:val="2F954612"/>
    <w:rsid w:val="34551F38"/>
    <w:rsid w:val="35800A8C"/>
    <w:rsid w:val="3E0E6110"/>
    <w:rsid w:val="3E195840"/>
    <w:rsid w:val="40B9477D"/>
    <w:rsid w:val="44105908"/>
    <w:rsid w:val="49386E76"/>
    <w:rsid w:val="495E558B"/>
    <w:rsid w:val="4A552254"/>
    <w:rsid w:val="4EEE1D41"/>
    <w:rsid w:val="511E043D"/>
    <w:rsid w:val="54614502"/>
    <w:rsid w:val="55E71DCC"/>
    <w:rsid w:val="57FD5F4B"/>
    <w:rsid w:val="58216C88"/>
    <w:rsid w:val="586E1FB7"/>
    <w:rsid w:val="605A5942"/>
    <w:rsid w:val="61743D31"/>
    <w:rsid w:val="61906EC4"/>
    <w:rsid w:val="659277DF"/>
    <w:rsid w:val="6BF01DD5"/>
    <w:rsid w:val="71623FF9"/>
    <w:rsid w:val="77D50879"/>
    <w:rsid w:val="795A3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A72B6A7-3572-42E3-927D-1392F5674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qFormat/>
    <w:pPr>
      <w:keepNext/>
      <w:keepLines/>
      <w:spacing w:before="260" w:after="260" w:line="413" w:lineRule="auto"/>
      <w:outlineLvl w:val="2"/>
    </w:pPr>
    <w:rPr>
      <w:b/>
      <w:bCs/>
      <w:kern w:val="0"/>
      <w:sz w:val="32"/>
      <w:szCs w:val="32"/>
    </w:rPr>
  </w:style>
  <w:style w:type="paragraph" w:styleId="4">
    <w:name w:val="heading 4"/>
    <w:basedOn w:val="a"/>
    <w:next w:val="a"/>
    <w:uiPriority w:val="9"/>
    <w:qFormat/>
    <w:pPr>
      <w:keepNext/>
      <w:keepLines/>
      <w:spacing w:line="480" w:lineRule="exact"/>
      <w:outlineLvl w:val="3"/>
    </w:pPr>
    <w:rPr>
      <w:rFonts w:ascii="Cambria" w:eastAsia="仿宋_GB2312"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10"/>
    <w:next w:val="35"/>
    <w:uiPriority w:val="99"/>
    <w:unhideWhenUsed/>
    <w:qFormat/>
    <w:pPr>
      <w:autoSpaceDE w:val="0"/>
      <w:autoSpaceDN w:val="0"/>
    </w:pPr>
    <w:rPr>
      <w:rFonts w:ascii="仿宋_GB2312" w:eastAsia="仿宋_GB2312" w:hAnsi="仿宋_GB2312" w:hint="eastAsia"/>
      <w:color w:val="000000"/>
      <w:sz w:val="24"/>
    </w:rPr>
  </w:style>
  <w:style w:type="paragraph" w:customStyle="1" w:styleId="10">
    <w:name w:val="纯文本1"/>
    <w:basedOn w:val="a"/>
    <w:qFormat/>
    <w:pPr>
      <w:adjustRightInd w:val="0"/>
    </w:pPr>
    <w:rPr>
      <w:rFonts w:ascii="宋体" w:hAnsi="Courier New"/>
      <w:szCs w:val="20"/>
    </w:rPr>
  </w:style>
  <w:style w:type="paragraph" w:customStyle="1" w:styleId="35">
    <w:name w:val="样式35"/>
    <w:next w:val="font6"/>
    <w:qFormat/>
    <w:pPr>
      <w:widowControl w:val="0"/>
      <w:spacing w:line="312" w:lineRule="auto"/>
      <w:ind w:firstLine="567"/>
      <w:jc w:val="both"/>
    </w:pPr>
    <w:rPr>
      <w:rFonts w:ascii="宋体" w:hAnsi="Calibri"/>
      <w:kern w:val="2"/>
      <w:sz w:val="21"/>
      <w:szCs w:val="22"/>
    </w:rPr>
  </w:style>
  <w:style w:type="paragraph" w:customStyle="1" w:styleId="font6">
    <w:name w:val="font6"/>
    <w:next w:val="20"/>
    <w:qFormat/>
    <w:pPr>
      <w:spacing w:before="280" w:after="280"/>
      <w:jc w:val="both"/>
    </w:pPr>
    <w:rPr>
      <w:rFonts w:ascii="Calibri" w:hAnsi="Calibri"/>
      <w:kern w:val="2"/>
      <w:sz w:val="21"/>
      <w:szCs w:val="22"/>
    </w:rPr>
  </w:style>
  <w:style w:type="paragraph" w:styleId="20">
    <w:name w:val="toc 2"/>
    <w:basedOn w:val="a"/>
    <w:next w:val="a"/>
    <w:semiHidden/>
    <w:qFormat/>
    <w:pPr>
      <w:ind w:leftChars="200" w:left="420"/>
    </w:pPr>
  </w:style>
  <w:style w:type="paragraph" w:styleId="a3">
    <w:name w:val="Normal Indent"/>
    <w:basedOn w:val="a"/>
    <w:qFormat/>
    <w:pPr>
      <w:ind w:firstLineChars="200" w:firstLine="420"/>
    </w:pPr>
  </w:style>
  <w:style w:type="paragraph" w:styleId="a4">
    <w:name w:val="caption"/>
    <w:basedOn w:val="a"/>
    <w:next w:val="a"/>
    <w:qFormat/>
    <w:rPr>
      <w:rFonts w:ascii="Arial" w:eastAsia="黑体" w:hAnsi="Arial"/>
      <w:sz w:val="20"/>
      <w:szCs w:val="20"/>
    </w:rPr>
  </w:style>
  <w:style w:type="paragraph" w:styleId="a5">
    <w:name w:val="annotation text"/>
    <w:basedOn w:val="a"/>
    <w:qFormat/>
    <w:pPr>
      <w:jc w:val="left"/>
    </w:pPr>
    <w:rPr>
      <w:rFonts w:ascii="Calibri" w:hAnsi="Calibri"/>
    </w:rPr>
  </w:style>
  <w:style w:type="paragraph" w:styleId="a6">
    <w:name w:val="Body Text"/>
    <w:basedOn w:val="a"/>
    <w:qFormat/>
    <w:pPr>
      <w:spacing w:after="120"/>
    </w:pPr>
  </w:style>
  <w:style w:type="paragraph" w:styleId="a7">
    <w:name w:val="Body Text Indent"/>
    <w:basedOn w:val="a"/>
    <w:qFormat/>
    <w:pPr>
      <w:spacing w:after="120"/>
      <w:ind w:leftChars="200" w:left="420"/>
    </w:pPr>
  </w:style>
  <w:style w:type="paragraph" w:styleId="a8">
    <w:name w:val="Plain Text"/>
    <w:basedOn w:val="a"/>
    <w:qFormat/>
    <w:rPr>
      <w:rFonts w:ascii="宋体" w:hAnsi="Courier New"/>
      <w:kern w:val="24"/>
      <w:sz w:val="20"/>
      <w:szCs w:val="21"/>
    </w:rPr>
  </w:style>
  <w:style w:type="paragraph" w:styleId="a9">
    <w:name w:val="footer"/>
    <w:basedOn w:val="a"/>
    <w:uiPriority w:val="99"/>
    <w:unhideWhenUsed/>
    <w:qFormat/>
    <w:pPr>
      <w:tabs>
        <w:tab w:val="center" w:pos="4153"/>
        <w:tab w:val="right" w:pos="8306"/>
      </w:tabs>
      <w:snapToGrid w:val="0"/>
      <w:jc w:val="left"/>
    </w:pPr>
    <w:rPr>
      <w:sz w:val="18"/>
      <w:szCs w:val="18"/>
    </w:rPr>
  </w:style>
  <w:style w:type="paragraph" w:styleId="aa">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qFormat/>
  </w:style>
  <w:style w:type="paragraph" w:styleId="ab">
    <w:name w:val="Subtitle"/>
    <w:basedOn w:val="a"/>
    <w:next w:val="a"/>
    <w:uiPriority w:val="11"/>
    <w:qFormat/>
    <w:pPr>
      <w:spacing w:before="240" w:after="60" w:line="312" w:lineRule="auto"/>
      <w:jc w:val="center"/>
      <w:outlineLvl w:val="1"/>
    </w:pPr>
    <w:rPr>
      <w:rFonts w:ascii="Cambria" w:hAnsi="Cambria"/>
      <w:b/>
      <w:bCs/>
      <w:kern w:val="28"/>
      <w:sz w:val="32"/>
      <w:szCs w:val="32"/>
    </w:rPr>
  </w:style>
  <w:style w:type="paragraph" w:styleId="ac">
    <w:name w:val="List"/>
    <w:basedOn w:val="a"/>
    <w:qFormat/>
    <w:pPr>
      <w:ind w:left="200" w:hangingChars="200" w:hanging="200"/>
    </w:pPr>
  </w:style>
  <w:style w:type="paragraph" w:styleId="ad">
    <w:name w:val="Normal (Web)"/>
    <w:basedOn w:val="a"/>
    <w:qFormat/>
    <w:pPr>
      <w:widowControl/>
      <w:spacing w:before="100" w:beforeAutospacing="1" w:after="100" w:afterAutospacing="1"/>
      <w:jc w:val="left"/>
    </w:pPr>
    <w:rPr>
      <w:rFonts w:ascii="宋体" w:hAnsi="宋体"/>
      <w:kern w:val="0"/>
      <w:sz w:val="24"/>
    </w:rPr>
  </w:style>
  <w:style w:type="paragraph" w:styleId="21">
    <w:name w:val="Body Text First Indent 2"/>
    <w:basedOn w:val="a7"/>
    <w:unhideWhenUsed/>
    <w:qFormat/>
    <w:pPr>
      <w:ind w:firstLineChars="200" w:firstLine="420"/>
    </w:pPr>
    <w:rPr>
      <w:rFonts w:ascii="Calibri" w:hAnsi="Calibri"/>
    </w:rPr>
  </w:style>
  <w:style w:type="table" w:styleId="ae">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qFormat/>
    <w:rPr>
      <w:b/>
      <w:bCs/>
    </w:rPr>
  </w:style>
  <w:style w:type="character" w:styleId="af0">
    <w:name w:val="page number"/>
    <w:basedOn w:val="a0"/>
    <w:qFormat/>
  </w:style>
  <w:style w:type="paragraph" w:customStyle="1" w:styleId="TableParagraph">
    <w:name w:val="Table Paragraph"/>
    <w:basedOn w:val="a"/>
    <w:uiPriority w:val="1"/>
    <w:qFormat/>
  </w:style>
  <w:style w:type="paragraph" w:customStyle="1" w:styleId="af1">
    <w:name w:val="表格文字"/>
    <w:basedOn w:val="a"/>
    <w:qFormat/>
    <w:pPr>
      <w:spacing w:line="240" w:lineRule="atLeast"/>
      <w:jc w:val="center"/>
    </w:pPr>
  </w:style>
  <w:style w:type="paragraph" w:customStyle="1" w:styleId="af2">
    <w:name w:val="图表文字"/>
    <w:basedOn w:val="a"/>
    <w:qFormat/>
    <w:pPr>
      <w:jc w:val="center"/>
    </w:pPr>
    <w:rPr>
      <w:rFonts w:ascii="仿宋_GB2312" w:eastAsia="仿宋_GB2312"/>
    </w:rPr>
  </w:style>
  <w:style w:type="character" w:customStyle="1" w:styleId="apple-style-span">
    <w:name w:val="apple-style-span"/>
    <w:basedOn w:val="a0"/>
    <w:qFormat/>
  </w:style>
  <w:style w:type="paragraph" w:customStyle="1" w:styleId="12">
    <w:name w:val="1"/>
    <w:basedOn w:val="a"/>
    <w:qFormat/>
  </w:style>
  <w:style w:type="paragraph" w:customStyle="1" w:styleId="xl27">
    <w:name w:val="xl27"/>
    <w:basedOn w:val="a"/>
    <w:qFormat/>
    <w:pPr>
      <w:widowControl/>
      <w:pBdr>
        <w:bottom w:val="single" w:sz="12" w:space="0" w:color="auto"/>
      </w:pBdr>
      <w:spacing w:before="100" w:after="100"/>
      <w:jc w:val="center"/>
    </w:pPr>
    <w:rPr>
      <w:rFonts w:ascii="宋体" w:hAnsi="宋体"/>
      <w:kern w:val="0"/>
    </w:rPr>
  </w:style>
  <w:style w:type="paragraph" w:customStyle="1" w:styleId="af3">
    <w:name w:val="小四表文左齐"/>
    <w:basedOn w:val="a"/>
    <w:qFormat/>
    <w:pPr>
      <w:adjustRightInd w:val="0"/>
      <w:snapToGrid w:val="0"/>
      <w:jc w:val="center"/>
    </w:pPr>
    <w:rPr>
      <w:rFonts w:ascii="仿宋_GB2312" w:eastAsia="仿宋_GB2312"/>
      <w:szCs w:val="24"/>
    </w:rPr>
  </w:style>
  <w:style w:type="paragraph" w:customStyle="1" w:styleId="af4">
    <w:name w:val="表格"/>
    <w:basedOn w:val="a"/>
    <w:qFormat/>
    <w:pPr>
      <w:jc w:val="center"/>
    </w:pPr>
    <w:rPr>
      <w:sz w:val="24"/>
    </w:rPr>
  </w:style>
  <w:style w:type="paragraph" w:customStyle="1" w:styleId="af5">
    <w:name w:val="表头"/>
    <w:basedOn w:val="a"/>
    <w:qFormat/>
    <w:pPr>
      <w:adjustRightInd w:val="0"/>
      <w:snapToGrid w:val="0"/>
      <w:spacing w:line="360" w:lineRule="auto"/>
      <w:jc w:val="center"/>
      <w:textAlignment w:val="baseline"/>
    </w:pPr>
    <w:rPr>
      <w:rFonts w:ascii="宋体"/>
      <w:spacing w:val="6"/>
      <w:kern w:val="10"/>
      <w:sz w:val="24"/>
    </w:rPr>
  </w:style>
  <w:style w:type="paragraph" w:customStyle="1" w:styleId="af6">
    <w:name w:val="表格正文"/>
    <w:basedOn w:val="a"/>
    <w:next w:val="a"/>
    <w:qFormat/>
    <w:pPr>
      <w:adjustRightInd w:val="0"/>
      <w:snapToGrid w:val="0"/>
      <w:jc w:val="center"/>
      <w:textAlignment w:val="baseline"/>
    </w:pPr>
    <w:rPr>
      <w:rFonts w:ascii="宋体"/>
      <w:snapToGrid w:val="0"/>
      <w:spacing w:val="4"/>
      <w:w w:val="90"/>
      <w:kern w:val="0"/>
      <w:sz w:val="24"/>
    </w:rPr>
  </w:style>
  <w:style w:type="paragraph" w:customStyle="1" w:styleId="af7">
    <w:name w:val="表格内正文"/>
    <w:basedOn w:val="a"/>
    <w:qFormat/>
    <w:pPr>
      <w:spacing w:line="360" w:lineRule="auto"/>
      <w:ind w:firstLine="493"/>
    </w:pPr>
    <w:rPr>
      <w:rFonts w:ascii="宋体" w:hAnsi="宋体"/>
      <w:spacing w:val="4"/>
      <w:kern w:val="18"/>
      <w:sz w:val="24"/>
    </w:rPr>
  </w:style>
  <w:style w:type="paragraph" w:customStyle="1" w:styleId="0705">
    <w:name w:val="正本文字0705"/>
    <w:basedOn w:val="a"/>
    <w:qFormat/>
    <w:pPr>
      <w:adjustRightInd w:val="0"/>
      <w:snapToGrid w:val="0"/>
      <w:spacing w:line="360" w:lineRule="auto"/>
      <w:ind w:firstLineChars="200" w:firstLine="200"/>
    </w:pPr>
    <w:rPr>
      <w:rFonts w:cs="宋体"/>
      <w:color w:val="000000"/>
      <w:kern w:val="18"/>
      <w:sz w:val="24"/>
    </w:rPr>
  </w:style>
  <w:style w:type="paragraph" w:customStyle="1" w:styleId="af8">
    <w:name w:val="报告正文"/>
    <w:basedOn w:val="a"/>
    <w:qFormat/>
    <w:pPr>
      <w:adjustRightInd w:val="0"/>
      <w:snapToGrid w:val="0"/>
      <w:spacing w:line="360" w:lineRule="auto"/>
      <w:ind w:firstLineChars="200" w:firstLine="200"/>
    </w:pPr>
    <w:rPr>
      <w:rFonts w:ascii="宋体"/>
      <w:sz w:val="24"/>
      <w:szCs w:val="20"/>
    </w:rPr>
  </w:style>
  <w:style w:type="paragraph" w:customStyle="1" w:styleId="af9">
    <w:name w:val="表格下方正文"/>
    <w:basedOn w:val="a"/>
    <w:qFormat/>
    <w:pPr>
      <w:spacing w:before="300" w:line="460" w:lineRule="exact"/>
      <w:ind w:firstLineChars="200" w:firstLine="200"/>
    </w:pPr>
    <w:rPr>
      <w:sz w:val="24"/>
    </w:rPr>
  </w:style>
  <w:style w:type="paragraph" w:customStyle="1" w:styleId="afa">
    <w:name w:val="文本框样式"/>
    <w:basedOn w:val="a"/>
    <w:qFormat/>
    <w:pPr>
      <w:jc w:val="center"/>
    </w:pPr>
    <w:rPr>
      <w:szCs w:val="21"/>
    </w:rPr>
  </w:style>
  <w:style w:type="paragraph" w:customStyle="1" w:styleId="afb">
    <w:name w:val="表格式"/>
    <w:basedOn w:val="ac"/>
    <w:qFormat/>
    <w:pPr>
      <w:widowControl/>
      <w:spacing w:line="340" w:lineRule="exact"/>
      <w:ind w:left="0" w:firstLineChars="0" w:firstLine="0"/>
      <w:jc w:val="center"/>
    </w:pPr>
    <w:rPr>
      <w:rFonts w:ascii="宋体" w:hAnsi="宋体"/>
    </w:rPr>
  </w:style>
  <w:style w:type="paragraph" w:customStyle="1" w:styleId="Web">
    <w:name w:val="普通 (Web)"/>
    <w:basedOn w:val="a"/>
    <w:next w:val="a"/>
    <w:qFormat/>
    <w:pPr>
      <w:autoSpaceDE w:val="0"/>
      <w:autoSpaceDN w:val="0"/>
      <w:adjustRightInd w:val="0"/>
      <w:jc w:val="left"/>
    </w:pPr>
    <w:rPr>
      <w:rFonts w:ascii="宋体"/>
      <w:kern w:val="0"/>
      <w:sz w:val="24"/>
      <w:szCs w:val="20"/>
    </w:rPr>
  </w:style>
  <w:style w:type="paragraph" w:customStyle="1" w:styleId="xl23">
    <w:name w:val="xl23"/>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styleId="afc">
    <w:name w:val="List Paragraph"/>
    <w:basedOn w:val="a"/>
    <w:qFormat/>
    <w:pPr>
      <w:ind w:firstLineChars="200" w:firstLine="420"/>
    </w:pPr>
    <w:rPr>
      <w:szCs w:val="21"/>
    </w:rPr>
  </w:style>
  <w:style w:type="paragraph" w:customStyle="1" w:styleId="WPSOffice1">
    <w:name w:val="WPSOffice手动目录 1"/>
    <w:qFormat/>
  </w:style>
  <w:style w:type="paragraph" w:customStyle="1" w:styleId="110">
    <w:name w:val="样式11"/>
    <w:basedOn w:val="a3"/>
    <w:qFormat/>
    <w:pPr>
      <w:ind w:firstLine="495"/>
    </w:pPr>
    <w:rPr>
      <w:rFonts w:ascii="Calibri" w:hAnsi="Calibri"/>
      <w:sz w:val="24"/>
    </w:rPr>
  </w:style>
  <w:style w:type="paragraph" w:customStyle="1" w:styleId="afd">
    <w:name w:val="低行距图表文字"/>
    <w:basedOn w:val="a"/>
    <w:qFormat/>
    <w:pPr>
      <w:spacing w:line="240" w:lineRule="exact"/>
      <w:jc w:val="center"/>
    </w:pPr>
    <w:rPr>
      <w:rFonts w:ascii="仿宋_GB2312" w:eastAsia="仿宋_GB2312" w:hAnsi="仿宋_GB2312"/>
      <w:kern w:val="0"/>
      <w:sz w:val="20"/>
      <w:szCs w:val="20"/>
    </w:rPr>
  </w:style>
  <w:style w:type="paragraph" w:customStyle="1" w:styleId="j">
    <w:name w:val="正文j"/>
    <w:qFormat/>
    <w:pPr>
      <w:adjustRightInd w:val="0"/>
      <w:snapToGrid w:val="0"/>
      <w:spacing w:line="500" w:lineRule="exact"/>
      <w:ind w:firstLineChars="200" w:firstLine="200"/>
      <w:jc w:val="both"/>
    </w:pPr>
    <w:rPr>
      <w:rFonts w:eastAsia="仿宋_GB2312"/>
      <w:sz w:val="28"/>
      <w:szCs w:val="28"/>
    </w:rPr>
  </w:style>
  <w:style w:type="paragraph" w:customStyle="1" w:styleId="j0">
    <w:name w:val="表头j"/>
    <w:basedOn w:val="ab"/>
    <w:qFormat/>
    <w:pPr>
      <w:adjustRightInd w:val="0"/>
      <w:snapToGrid w:val="0"/>
      <w:spacing w:before="0" w:after="0" w:line="500" w:lineRule="exact"/>
      <w:textAlignment w:val="baseline"/>
      <w:outlineLvl w:val="9"/>
    </w:pPr>
    <w:rPr>
      <w:rFonts w:ascii="Times New Roman" w:eastAsia="仿宋_GB2312" w:hAnsi="Times New Roman"/>
      <w:bCs w:val="0"/>
      <w:sz w:val="24"/>
      <w:szCs w:val="20"/>
    </w:rPr>
  </w:style>
  <w:style w:type="paragraph" w:customStyle="1" w:styleId="p0">
    <w:name w:val="p0"/>
    <w:basedOn w:val="a"/>
    <w:qFormat/>
    <w:pPr>
      <w:widowControl/>
    </w:pPr>
    <w:rPr>
      <w:kern w:val="0"/>
      <w:sz w:val="20"/>
      <w:szCs w:val="21"/>
    </w:rPr>
  </w:style>
  <w:style w:type="paragraph" w:customStyle="1" w:styleId="13">
    <w:name w:val="正文文本缩进1"/>
    <w:basedOn w:val="a"/>
    <w:qFormat/>
    <w:pPr>
      <w:spacing w:after="120" w:line="360" w:lineRule="auto"/>
      <w:ind w:leftChars="200" w:left="420" w:firstLineChars="200" w:firstLine="200"/>
    </w:pPr>
    <w:rPr>
      <w:sz w:val="24"/>
    </w:rPr>
  </w:style>
  <w:style w:type="paragraph" w:customStyle="1" w:styleId="afe">
    <w:name w:val="文本正文"/>
    <w:basedOn w:val="a"/>
    <w:qFormat/>
    <w:pPr>
      <w:autoSpaceDE w:val="0"/>
      <w:autoSpaceDN w:val="0"/>
      <w:adjustRightInd w:val="0"/>
      <w:spacing w:line="360" w:lineRule="auto"/>
      <w:ind w:firstLineChars="200" w:firstLine="200"/>
      <w:textAlignment w:val="baseline"/>
    </w:pPr>
    <w:rPr>
      <w:rFonts w:ascii="宋体" w:hAnsi="宋体"/>
      <w:snapToGrid w:val="0"/>
      <w:color w:val="000000"/>
      <w:spacing w:val="4"/>
      <w:kern w:val="18"/>
      <w:sz w:val="24"/>
    </w:rPr>
  </w:style>
  <w:style w:type="paragraph" w:customStyle="1" w:styleId="j1">
    <w:name w:val="j三级标题"/>
    <w:basedOn w:val="a"/>
    <w:qFormat/>
    <w:pPr>
      <w:adjustRightInd w:val="0"/>
      <w:snapToGrid w:val="0"/>
      <w:spacing w:beforeLines="50" w:afterLines="50" w:line="500" w:lineRule="exact"/>
      <w:outlineLvl w:val="2"/>
    </w:pPr>
    <w:rPr>
      <w:rFonts w:eastAsia="仿宋_GB2312"/>
      <w:b/>
      <w:color w:val="000000"/>
      <w:kern w:val="0"/>
      <w:sz w:val="28"/>
      <w:szCs w:val="28"/>
    </w:rPr>
  </w:style>
  <w:style w:type="paragraph" w:customStyle="1" w:styleId="aff">
    <w:name w:val="【正文】"/>
    <w:basedOn w:val="a"/>
    <w:qFormat/>
    <w:pPr>
      <w:spacing w:line="440" w:lineRule="exact"/>
      <w:ind w:firstLineChars="200" w:firstLine="544"/>
    </w:pPr>
    <w:rPr>
      <w:rFonts w:cs="宋体"/>
      <w:spacing w:val="16"/>
      <w:sz w:val="24"/>
      <w:szCs w:val="20"/>
    </w:rPr>
  </w:style>
  <w:style w:type="paragraph" w:customStyle="1" w:styleId="aff0">
    <w:name w:val="环正文"/>
    <w:basedOn w:val="a"/>
    <w:qFormat/>
    <w:pPr>
      <w:widowControl/>
      <w:suppressAutoHyphens/>
      <w:adjustRightInd w:val="0"/>
      <w:snapToGrid w:val="0"/>
      <w:spacing w:line="500" w:lineRule="exact"/>
      <w:ind w:firstLineChars="200" w:firstLine="560"/>
      <w:textAlignment w:val="baseline"/>
    </w:pPr>
    <w:rPr>
      <w:rFonts w:eastAsia="仿宋_GB2312"/>
      <w:kern w:val="0"/>
      <w:sz w:val="28"/>
      <w:szCs w:val="28"/>
    </w:rPr>
  </w:style>
  <w:style w:type="paragraph" w:customStyle="1" w:styleId="Char">
    <w:name w:val="Char"/>
    <w:basedOn w:val="a"/>
    <w:qFormat/>
    <w:rPr>
      <w:rFonts w:eastAsia="华文新魏"/>
      <w:sz w:val="24"/>
    </w:rPr>
  </w:style>
  <w:style w:type="paragraph" w:styleId="aff1">
    <w:name w:val="No Spacing"/>
    <w:uiPriority w:val="1"/>
    <w:qFormat/>
    <w:pPr>
      <w:widowControl w:val="0"/>
      <w:spacing w:line="360" w:lineRule="exact"/>
      <w:jc w:val="center"/>
    </w:pPr>
    <w:rPr>
      <w:kern w:val="2"/>
      <w:sz w:val="21"/>
      <w:szCs w:val="24"/>
    </w:rPr>
  </w:style>
  <w:style w:type="paragraph" w:styleId="aff2">
    <w:name w:val="Balloon Text"/>
    <w:basedOn w:val="a"/>
    <w:link w:val="aff3"/>
    <w:rsid w:val="0006001B"/>
    <w:rPr>
      <w:sz w:val="18"/>
      <w:szCs w:val="18"/>
    </w:rPr>
  </w:style>
  <w:style w:type="character" w:customStyle="1" w:styleId="aff3">
    <w:name w:val="批注框文本 字符"/>
    <w:basedOn w:val="a0"/>
    <w:link w:val="aff2"/>
    <w:rsid w:val="0006001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1770</Words>
  <Characters>10089</Characters>
  <Application>Microsoft Office Word</Application>
  <DocSecurity>0</DocSecurity>
  <Lines>84</Lines>
  <Paragraphs>23</Paragraphs>
  <ScaleCrop>false</ScaleCrop>
  <Company>china</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cp:lastModifiedBy>hpc</cp:lastModifiedBy>
  <cp:revision>3</cp:revision>
  <cp:lastPrinted>2025-05-08T09:35:00Z</cp:lastPrinted>
  <dcterms:created xsi:type="dcterms:W3CDTF">2021-10-15T02:00:00Z</dcterms:created>
  <dcterms:modified xsi:type="dcterms:W3CDTF">2025-05-30T03:28:00Z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3F30C53E029C48B6B3AD4A17518CA707</vt:lpwstr>
  </property>
  <property fmtid="{D5CDD505-2E9C-101B-9397-08002B2CF9AE}" pid="4" name="KSOTemplateDocerSaveRecord">
    <vt:lpwstr>eyJoZGlkIjoiNTgzZWVmN2QzMmRjNTg0YmZkYTBlMzI1N2Q1YTE4ZTciLCJ1c2VySWQiOiIzMzg4NTU3MDEifQ==</vt:lpwstr>
  </property>
</Properties>
</file>