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08E50">
      <w:pPr>
        <w:rPr>
          <w:b/>
          <w:sz w:val="44"/>
          <w:szCs w:val="44"/>
        </w:rPr>
      </w:pPr>
      <w:bookmarkStart w:id="0" w:name="_Toc491184957"/>
      <w:bookmarkStart w:id="1" w:name="_Toc491185129"/>
      <w:bookmarkStart w:id="2" w:name="_Toc491184817"/>
    </w:p>
    <w:p w14:paraId="6074192D">
      <w:pPr>
        <w:jc w:val="center"/>
        <w:rPr>
          <w:b/>
          <w:sz w:val="44"/>
          <w:szCs w:val="44"/>
        </w:rPr>
      </w:pPr>
      <w:r>
        <w:rPr>
          <w:b/>
          <w:sz w:val="44"/>
          <w:szCs w:val="44"/>
        </w:rPr>
        <w:t>江苏省危险废物经营许可证申请书</w:t>
      </w:r>
    </w:p>
    <w:p w14:paraId="2A3EA202">
      <w:pPr>
        <w:jc w:val="center"/>
        <w:rPr>
          <w:sz w:val="52"/>
        </w:rPr>
      </w:pPr>
    </w:p>
    <w:p w14:paraId="25451522">
      <w:pPr>
        <w:jc w:val="center"/>
        <w:rPr>
          <w:sz w:val="52"/>
        </w:rPr>
      </w:pPr>
    </w:p>
    <w:p w14:paraId="56CF7F9C">
      <w:pPr>
        <w:jc w:val="center"/>
        <w:rPr>
          <w:sz w:val="52"/>
        </w:rPr>
      </w:pPr>
    </w:p>
    <w:p w14:paraId="18B5C898">
      <w:pPr>
        <w:spacing w:line="840" w:lineRule="auto"/>
        <w:ind w:firstLine="840" w:firstLineChars="300"/>
        <w:rPr>
          <w:sz w:val="28"/>
          <w:szCs w:val="28"/>
        </w:rPr>
      </w:pPr>
      <w:r>
        <w:rPr>
          <w:sz w:val="28"/>
          <w:szCs w:val="28"/>
        </w:rPr>
        <w:t>申请单位名称</w:t>
      </w:r>
      <w:r>
        <w:rPr>
          <w:sz w:val="28"/>
          <w:szCs w:val="28"/>
          <w:u w:val="single"/>
        </w:rPr>
        <w:t xml:space="preserve">     常州厚发环保科技有限公司 (章)   </w:t>
      </w:r>
    </w:p>
    <w:p w14:paraId="3324BFE9">
      <w:pPr>
        <w:spacing w:line="840" w:lineRule="auto"/>
        <w:ind w:firstLine="840" w:firstLineChars="300"/>
        <w:rPr>
          <w:sz w:val="28"/>
          <w:szCs w:val="28"/>
          <w:u w:val="single"/>
        </w:rPr>
      </w:pPr>
      <w:r>
        <w:rPr>
          <w:sz w:val="28"/>
          <w:szCs w:val="28"/>
        </w:rPr>
        <w:t xml:space="preserve">申请经营废物类别 </w:t>
      </w:r>
      <w:r>
        <w:rPr>
          <w:sz w:val="28"/>
          <w:szCs w:val="28"/>
          <w:u w:val="single"/>
        </w:rPr>
        <w:t xml:space="preserve"> HW22，398-005-22、398-051-22    </w:t>
      </w:r>
    </w:p>
    <w:p w14:paraId="4F7095FB">
      <w:pPr>
        <w:pStyle w:val="6"/>
        <w:ind w:firstLine="840" w:firstLineChars="300"/>
        <w:rPr>
          <w:rFonts w:ascii="Times New Roman"/>
          <w:sz w:val="28"/>
          <w:szCs w:val="28"/>
        </w:rPr>
      </w:pPr>
      <w:r>
        <w:rPr>
          <w:rFonts w:ascii="Times New Roman"/>
          <w:sz w:val="28"/>
          <w:szCs w:val="28"/>
        </w:rPr>
        <w:t>经营方式</w:t>
      </w:r>
      <w:r>
        <w:rPr>
          <w:rFonts w:ascii="Times New Roman"/>
          <w:sz w:val="28"/>
          <w:szCs w:val="28"/>
          <w:u w:val="single"/>
        </w:rPr>
        <w:t xml:space="preserve">                 处置                  </w:t>
      </w:r>
    </w:p>
    <w:p w14:paraId="30F52AB0">
      <w:pPr>
        <w:spacing w:line="840" w:lineRule="auto"/>
        <w:ind w:firstLine="840" w:firstLineChars="300"/>
        <w:rPr>
          <w:sz w:val="28"/>
          <w:szCs w:val="28"/>
        </w:rPr>
      </w:pPr>
      <w:r>
        <w:rPr>
          <w:sz w:val="28"/>
          <w:szCs w:val="28"/>
        </w:rPr>
        <w:t>申请数量(吨/年)</w:t>
      </w:r>
      <w:r>
        <w:rPr>
          <w:sz w:val="28"/>
          <w:szCs w:val="28"/>
          <w:u w:val="single"/>
        </w:rPr>
        <w:t xml:space="preserve">           20000                   </w:t>
      </w:r>
    </w:p>
    <w:p w14:paraId="30DE173F">
      <w:pPr>
        <w:spacing w:line="840" w:lineRule="auto"/>
        <w:ind w:firstLine="840" w:firstLineChars="300"/>
        <w:rPr>
          <w:sz w:val="28"/>
          <w:szCs w:val="28"/>
        </w:rPr>
      </w:pPr>
      <w:r>
        <w:rPr>
          <w:sz w:val="28"/>
          <w:szCs w:val="28"/>
        </w:rPr>
        <w:t>填报日期</w:t>
      </w:r>
      <w:r>
        <w:rPr>
          <w:sz w:val="28"/>
          <w:szCs w:val="28"/>
          <w:u w:val="single"/>
        </w:rPr>
        <w:t xml:space="preserve">               2025年2月8日          </w:t>
      </w:r>
    </w:p>
    <w:p w14:paraId="6AE985E1">
      <w:pPr>
        <w:jc w:val="center"/>
        <w:rPr>
          <w:sz w:val="28"/>
          <w:szCs w:val="28"/>
        </w:rPr>
      </w:pPr>
    </w:p>
    <w:p w14:paraId="6D66C625">
      <w:pPr>
        <w:jc w:val="center"/>
        <w:rPr>
          <w:sz w:val="28"/>
          <w:szCs w:val="28"/>
        </w:rPr>
      </w:pPr>
    </w:p>
    <w:p w14:paraId="23AF064C">
      <w:pPr>
        <w:jc w:val="center"/>
        <w:rPr>
          <w:sz w:val="28"/>
          <w:szCs w:val="28"/>
        </w:rPr>
      </w:pPr>
    </w:p>
    <w:p w14:paraId="3A85FA7F">
      <w:pPr>
        <w:jc w:val="center"/>
        <w:rPr>
          <w:sz w:val="28"/>
          <w:szCs w:val="28"/>
        </w:rPr>
      </w:pPr>
    </w:p>
    <w:p w14:paraId="340CBDC9">
      <w:pPr>
        <w:jc w:val="center"/>
        <w:rPr>
          <w:sz w:val="28"/>
          <w:szCs w:val="28"/>
        </w:rPr>
      </w:pPr>
      <w:r>
        <w:rPr>
          <w:rFonts w:hint="eastAsia"/>
          <w:sz w:val="28"/>
          <w:szCs w:val="28"/>
        </w:rPr>
        <w:t>□</w:t>
      </w:r>
      <w:r>
        <w:rPr>
          <w:sz w:val="28"/>
          <w:szCs w:val="28"/>
        </w:rPr>
        <w:t>首次申请 ；</w:t>
      </w:r>
      <w:r>
        <w:rPr>
          <w:rFonts w:hint="eastAsia"/>
          <w:sz w:val="28"/>
          <w:szCs w:val="28"/>
        </w:rPr>
        <w:t>□</w:t>
      </w:r>
      <w:r>
        <w:rPr>
          <w:sz w:val="28"/>
          <w:szCs w:val="28"/>
        </w:rPr>
        <w:t xml:space="preserve">重新申请 ；☑换证 </w:t>
      </w:r>
    </w:p>
    <w:p w14:paraId="0B4AC6BE">
      <w:pPr>
        <w:jc w:val="center"/>
        <w:rPr>
          <w:spacing w:val="20"/>
          <w:sz w:val="30"/>
        </w:rPr>
      </w:pPr>
      <w:r>
        <w:rPr>
          <w:spacing w:val="20"/>
          <w:sz w:val="30"/>
        </w:rPr>
        <w:t>江苏省环境保护厅制</w:t>
      </w:r>
    </w:p>
    <w:p w14:paraId="38164A2C">
      <w:pPr>
        <w:jc w:val="center"/>
        <w:rPr>
          <w:b/>
          <w:kern w:val="0"/>
          <w:sz w:val="32"/>
          <w:szCs w:val="32"/>
        </w:rPr>
      </w:pPr>
    </w:p>
    <w:p w14:paraId="1C96AAB6">
      <w:pPr>
        <w:jc w:val="center"/>
        <w:rPr>
          <w:b/>
          <w:kern w:val="0"/>
          <w:sz w:val="32"/>
          <w:szCs w:val="32"/>
        </w:rPr>
      </w:pPr>
    </w:p>
    <w:p w14:paraId="61B12A88">
      <w:pPr>
        <w:jc w:val="center"/>
        <w:rPr>
          <w:b/>
          <w:kern w:val="0"/>
          <w:sz w:val="32"/>
          <w:szCs w:val="32"/>
        </w:rPr>
      </w:pPr>
    </w:p>
    <w:p w14:paraId="1669F882">
      <w:pPr>
        <w:pStyle w:val="6"/>
        <w:rPr>
          <w:rFonts w:ascii="Times New Roman"/>
          <w:b/>
          <w:kern w:val="0"/>
          <w:sz w:val="32"/>
          <w:szCs w:val="32"/>
        </w:rPr>
      </w:pPr>
    </w:p>
    <w:p w14:paraId="431F07E2">
      <w:pPr>
        <w:tabs>
          <w:tab w:val="left" w:pos="2554"/>
        </w:tabs>
        <w:jc w:val="left"/>
        <w:rPr>
          <w:sz w:val="28"/>
          <w:szCs w:val="13"/>
        </w:rPr>
      </w:pPr>
      <w:r>
        <w:tab/>
      </w:r>
      <w:r>
        <w:rPr>
          <w:sz w:val="28"/>
          <w:szCs w:val="13"/>
        </w:rPr>
        <w:t>《江苏省危险废物经营许可证申请书》</w:t>
      </w:r>
      <w:bookmarkEnd w:id="0"/>
      <w:bookmarkEnd w:id="1"/>
      <w:bookmarkEnd w:id="2"/>
    </w:p>
    <w:p w14:paraId="488D76A1">
      <w:pPr>
        <w:widowControl/>
        <w:kinsoku w:val="0"/>
        <w:autoSpaceDE w:val="0"/>
        <w:autoSpaceDN w:val="0"/>
        <w:adjustRightInd w:val="0"/>
        <w:snapToGrid w:val="0"/>
        <w:spacing w:line="500" w:lineRule="exact"/>
        <w:ind w:firstLine="436" w:firstLineChars="200"/>
        <w:textAlignment w:val="baseline"/>
        <w:rPr>
          <w:sz w:val="20"/>
        </w:rPr>
      </w:pPr>
      <w:r>
        <w:rPr>
          <w:spacing w:val="9"/>
          <w:sz w:val="20"/>
        </w:rPr>
        <w:t>填写说明</w:t>
      </w:r>
    </w:p>
    <w:p w14:paraId="5D7EFA56">
      <w:pPr>
        <w:widowControl/>
        <w:kinsoku w:val="0"/>
        <w:autoSpaceDE w:val="0"/>
        <w:autoSpaceDN w:val="0"/>
        <w:adjustRightInd w:val="0"/>
        <w:snapToGrid w:val="0"/>
        <w:spacing w:line="500" w:lineRule="exact"/>
        <w:ind w:firstLine="464" w:firstLineChars="200"/>
        <w:textAlignment w:val="baseline"/>
        <w:rPr>
          <w:sz w:val="20"/>
        </w:rPr>
      </w:pPr>
      <w:r>
        <w:rPr>
          <w:spacing w:val="16"/>
          <w:sz w:val="20"/>
        </w:rPr>
        <w:t>申请书除</w:t>
      </w:r>
      <w:r>
        <w:rPr>
          <w:spacing w:val="9"/>
          <w:sz w:val="20"/>
        </w:rPr>
        <w:t>最</w:t>
      </w:r>
      <w:r>
        <w:rPr>
          <w:spacing w:val="8"/>
          <w:sz w:val="20"/>
        </w:rPr>
        <w:t>后一页 (核查综合意见、省环保厅审批意见部分) 外均由申请单位填写，填写时除签名以</w:t>
      </w:r>
      <w:r>
        <w:rPr>
          <w:spacing w:val="5"/>
          <w:sz w:val="20"/>
        </w:rPr>
        <w:t>外</w:t>
      </w:r>
      <w:r>
        <w:rPr>
          <w:spacing w:val="4"/>
          <w:sz w:val="20"/>
        </w:rPr>
        <w:t>均要求打印。</w:t>
      </w:r>
    </w:p>
    <w:p w14:paraId="2487FE0F">
      <w:pPr>
        <w:widowControl/>
        <w:kinsoku w:val="0"/>
        <w:autoSpaceDE w:val="0"/>
        <w:autoSpaceDN w:val="0"/>
        <w:adjustRightInd w:val="0"/>
        <w:snapToGrid w:val="0"/>
        <w:spacing w:line="500" w:lineRule="exact"/>
        <w:ind w:firstLine="464" w:firstLineChars="200"/>
        <w:textAlignment w:val="baseline"/>
        <w:rPr>
          <w:sz w:val="20"/>
        </w:rPr>
      </w:pPr>
      <w:r>
        <w:rPr>
          <w:spacing w:val="16"/>
          <w:sz w:val="20"/>
        </w:rPr>
        <w:t>申</w:t>
      </w:r>
      <w:r>
        <w:rPr>
          <w:spacing w:val="9"/>
          <w:sz w:val="20"/>
        </w:rPr>
        <w:t>请</w:t>
      </w:r>
      <w:r>
        <w:rPr>
          <w:spacing w:val="8"/>
          <w:sz w:val="20"/>
        </w:rPr>
        <w:t>书填写内容应与所附证明材料一致，否则视为材料不完整。</w:t>
      </w:r>
    </w:p>
    <w:p w14:paraId="1DBB6521">
      <w:pPr>
        <w:widowControl/>
        <w:kinsoku w:val="0"/>
        <w:autoSpaceDE w:val="0"/>
        <w:autoSpaceDN w:val="0"/>
        <w:adjustRightInd w:val="0"/>
        <w:snapToGrid w:val="0"/>
        <w:spacing w:line="500" w:lineRule="exact"/>
        <w:ind w:firstLine="436" w:firstLineChars="200"/>
        <w:textAlignment w:val="baseline"/>
        <w:rPr>
          <w:sz w:val="20"/>
        </w:rPr>
      </w:pPr>
      <w:r>
        <w:rPr>
          <w:spacing w:val="9"/>
          <w:sz w:val="20"/>
        </w:rPr>
        <w:t>申请书各项内容应按实际情况填写。尚未实现的，按计划内容填写，并逐项注明“计划”字样</w:t>
      </w:r>
      <w:r>
        <w:rPr>
          <w:spacing w:val="4"/>
          <w:sz w:val="20"/>
        </w:rPr>
        <w:t>。</w:t>
      </w:r>
    </w:p>
    <w:p w14:paraId="41A78249">
      <w:pPr>
        <w:widowControl/>
        <w:kinsoku w:val="0"/>
        <w:autoSpaceDE w:val="0"/>
        <w:autoSpaceDN w:val="0"/>
        <w:adjustRightInd w:val="0"/>
        <w:snapToGrid w:val="0"/>
        <w:spacing w:line="500" w:lineRule="exact"/>
        <w:ind w:firstLine="472" w:firstLineChars="200"/>
        <w:textAlignment w:val="baseline"/>
        <w:rPr>
          <w:sz w:val="20"/>
        </w:rPr>
      </w:pPr>
      <w:r>
        <w:rPr>
          <w:spacing w:val="18"/>
          <w:sz w:val="20"/>
        </w:rPr>
        <w:t>经营方</w:t>
      </w:r>
      <w:r>
        <w:rPr>
          <w:spacing w:val="13"/>
          <w:sz w:val="20"/>
        </w:rPr>
        <w:t>式</w:t>
      </w:r>
      <w:r>
        <w:rPr>
          <w:spacing w:val="9"/>
          <w:sz w:val="20"/>
        </w:rPr>
        <w:t>分为收集、贮存、处置三大类，其中处置包括焚烧、填埋、化学处置、物理处置及其它方</w:t>
      </w:r>
      <w:r>
        <w:rPr>
          <w:sz w:val="20"/>
        </w:rPr>
        <w:t>法。</w:t>
      </w:r>
    </w:p>
    <w:p w14:paraId="255269BC">
      <w:pPr>
        <w:widowControl/>
        <w:kinsoku w:val="0"/>
        <w:autoSpaceDE w:val="0"/>
        <w:autoSpaceDN w:val="0"/>
        <w:adjustRightInd w:val="0"/>
        <w:snapToGrid w:val="0"/>
        <w:spacing w:line="500" w:lineRule="exact"/>
        <w:ind w:firstLine="472" w:firstLineChars="200"/>
        <w:textAlignment w:val="baseline"/>
        <w:rPr>
          <w:sz w:val="20"/>
        </w:rPr>
      </w:pPr>
      <w:r>
        <w:rPr>
          <w:spacing w:val="18"/>
          <w:sz w:val="20"/>
        </w:rPr>
        <w:t>危险</w:t>
      </w:r>
      <w:r>
        <w:rPr>
          <w:spacing w:val="9"/>
          <w:sz w:val="20"/>
        </w:rPr>
        <w:t>废物的危险特性是指传染性、爆炸性、易燃性、腐蚀性、浸出毒性、急性毒性等特性。</w:t>
      </w:r>
    </w:p>
    <w:p w14:paraId="5DEBCF6C">
      <w:pPr>
        <w:widowControl/>
        <w:kinsoku w:val="0"/>
        <w:autoSpaceDE w:val="0"/>
        <w:autoSpaceDN w:val="0"/>
        <w:adjustRightInd w:val="0"/>
        <w:snapToGrid w:val="0"/>
        <w:spacing w:line="500" w:lineRule="exact"/>
        <w:ind w:firstLine="432" w:firstLineChars="200"/>
        <w:textAlignment w:val="baseline"/>
        <w:rPr>
          <w:sz w:val="20"/>
        </w:rPr>
      </w:pPr>
      <w:r>
        <w:rPr>
          <w:spacing w:val="8"/>
          <w:sz w:val="20"/>
        </w:rPr>
        <w:t>申请书一式八份，如内容填写不下，可自行附页</w:t>
      </w:r>
      <w:r>
        <w:rPr>
          <w:spacing w:val="5"/>
          <w:sz w:val="20"/>
        </w:rPr>
        <w:t>。</w:t>
      </w:r>
    </w:p>
    <w:p w14:paraId="5E165E24">
      <w:pPr>
        <w:widowControl/>
        <w:kinsoku w:val="0"/>
        <w:autoSpaceDE w:val="0"/>
        <w:autoSpaceDN w:val="0"/>
        <w:adjustRightInd w:val="0"/>
        <w:snapToGrid w:val="0"/>
        <w:spacing w:line="500" w:lineRule="exact"/>
        <w:ind w:firstLine="416" w:firstLineChars="200"/>
        <w:textAlignment w:val="baseline"/>
        <w:rPr>
          <w:sz w:val="20"/>
        </w:rPr>
      </w:pPr>
      <w:r>
        <w:rPr>
          <w:spacing w:val="4"/>
          <w:sz w:val="20"/>
        </w:rPr>
        <w:t>申</w:t>
      </w:r>
      <w:r>
        <w:rPr>
          <w:spacing w:val="3"/>
          <w:sz w:val="20"/>
        </w:rPr>
        <w:t>请</w:t>
      </w:r>
      <w:r>
        <w:rPr>
          <w:spacing w:val="2"/>
          <w:sz w:val="20"/>
        </w:rPr>
        <w:t>者声明</w:t>
      </w:r>
    </w:p>
    <w:p w14:paraId="21AF13F1">
      <w:pPr>
        <w:widowControl/>
        <w:kinsoku w:val="0"/>
        <w:autoSpaceDE w:val="0"/>
        <w:autoSpaceDN w:val="0"/>
        <w:adjustRightInd w:val="0"/>
        <w:snapToGrid w:val="0"/>
        <w:spacing w:line="500" w:lineRule="exact"/>
        <w:ind w:firstLine="472" w:firstLineChars="200"/>
        <w:textAlignment w:val="baseline"/>
        <w:rPr>
          <w:sz w:val="20"/>
        </w:rPr>
      </w:pPr>
      <w:r>
        <w:rPr>
          <w:spacing w:val="18"/>
          <w:sz w:val="20"/>
        </w:rPr>
        <w:t>本申请</w:t>
      </w:r>
      <w:r>
        <w:rPr>
          <w:spacing w:val="14"/>
          <w:sz w:val="20"/>
        </w:rPr>
        <w:t>书</w:t>
      </w:r>
      <w:r>
        <w:rPr>
          <w:spacing w:val="9"/>
          <w:sz w:val="20"/>
        </w:rPr>
        <w:t>及有关附带资料是完整的和真实的。我代表申请单位郑重承诺：遵守《危险废物经营许可</w:t>
      </w:r>
      <w:r>
        <w:rPr>
          <w:spacing w:val="17"/>
          <w:sz w:val="20"/>
        </w:rPr>
        <w:t>证</w:t>
      </w:r>
      <w:r>
        <w:rPr>
          <w:spacing w:val="9"/>
          <w:sz w:val="20"/>
        </w:rPr>
        <w:t>管理办法》中对危险废物经营单位的各项规定，履行相关义务。</w:t>
      </w:r>
    </w:p>
    <w:p w14:paraId="55A30C33">
      <w:pPr>
        <w:spacing w:line="500" w:lineRule="exact"/>
        <w:ind w:firstLine="336" w:firstLineChars="150"/>
        <w:rPr>
          <w:kern w:val="0"/>
          <w:szCs w:val="21"/>
        </w:rPr>
      </w:pPr>
      <w:r>
        <w:rPr>
          <w:spacing w:val="7"/>
          <w:szCs w:val="21"/>
        </w:rPr>
        <w:t>法人代表签字</w:t>
      </w:r>
      <w:r>
        <w:rPr>
          <w:spacing w:val="6"/>
          <w:szCs w:val="21"/>
        </w:rPr>
        <w:t>：</w:t>
      </w:r>
    </w:p>
    <w:p w14:paraId="3A012F0E">
      <w:pPr>
        <w:ind w:firstLine="315" w:firstLineChars="150"/>
        <w:rPr>
          <w:kern w:val="0"/>
          <w:szCs w:val="21"/>
        </w:rPr>
      </w:pP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078"/>
        <w:gridCol w:w="821"/>
        <w:gridCol w:w="795"/>
        <w:gridCol w:w="1113"/>
        <w:gridCol w:w="616"/>
        <w:gridCol w:w="687"/>
        <w:gridCol w:w="932"/>
        <w:gridCol w:w="1333"/>
        <w:gridCol w:w="1050"/>
        <w:gridCol w:w="993"/>
      </w:tblGrid>
      <w:tr w14:paraId="73C0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4" w:hRule="atLeast"/>
        </w:trPr>
        <w:tc>
          <w:tcPr>
            <w:tcW w:w="909" w:type="pct"/>
            <w:gridSpan w:val="2"/>
            <w:vAlign w:val="center"/>
          </w:tcPr>
          <w:p w14:paraId="23504D9B">
            <w:pPr>
              <w:jc w:val="center"/>
              <w:rPr>
                <w:kern w:val="0"/>
                <w:sz w:val="20"/>
              </w:rPr>
            </w:pPr>
            <w:r>
              <w:rPr>
                <w:kern w:val="0"/>
                <w:sz w:val="20"/>
              </w:rPr>
              <w:t>申请单位名称</w:t>
            </w:r>
          </w:p>
        </w:tc>
        <w:tc>
          <w:tcPr>
            <w:tcW w:w="1641" w:type="pct"/>
            <w:gridSpan w:val="4"/>
            <w:tcBorders>
              <w:top w:val="single" w:color="auto" w:sz="4" w:space="0"/>
              <w:left w:val="single" w:color="auto" w:sz="4" w:space="0"/>
              <w:bottom w:val="single" w:color="auto" w:sz="4" w:space="0"/>
              <w:right w:val="single" w:color="auto" w:sz="4" w:space="0"/>
            </w:tcBorders>
            <w:vAlign w:val="center"/>
          </w:tcPr>
          <w:p w14:paraId="0D800DDF">
            <w:pPr>
              <w:jc w:val="center"/>
              <w:rPr>
                <w:kern w:val="0"/>
                <w:sz w:val="20"/>
              </w:rPr>
            </w:pPr>
            <w:bookmarkStart w:id="3" w:name="OLE_LINK3"/>
            <w:bookmarkStart w:id="4" w:name="OLE_LINK1"/>
            <w:bookmarkStart w:id="5" w:name="OLE_LINK2"/>
            <w:bookmarkStart w:id="6" w:name="OLE_LINK4"/>
            <w:r>
              <w:rPr>
                <w:kern w:val="0"/>
                <w:sz w:val="20"/>
              </w:rPr>
              <w:t>常州厚发环保科技有限公司</w:t>
            </w:r>
            <w:bookmarkEnd w:id="3"/>
            <w:bookmarkEnd w:id="4"/>
            <w:bookmarkEnd w:id="5"/>
            <w:bookmarkEnd w:id="6"/>
          </w:p>
        </w:tc>
        <w:tc>
          <w:tcPr>
            <w:tcW w:w="794" w:type="pct"/>
            <w:gridSpan w:val="2"/>
            <w:tcBorders>
              <w:top w:val="single" w:color="auto" w:sz="4" w:space="0"/>
              <w:left w:val="single" w:color="auto" w:sz="4" w:space="0"/>
              <w:bottom w:val="single" w:color="auto" w:sz="4" w:space="0"/>
              <w:right w:val="single" w:color="auto" w:sz="4" w:space="0"/>
            </w:tcBorders>
            <w:vAlign w:val="center"/>
          </w:tcPr>
          <w:p w14:paraId="0E17D75B">
            <w:pPr>
              <w:jc w:val="center"/>
              <w:rPr>
                <w:kern w:val="0"/>
                <w:sz w:val="20"/>
              </w:rPr>
            </w:pPr>
            <w:r>
              <w:rPr>
                <w:kern w:val="0"/>
                <w:sz w:val="20"/>
              </w:rPr>
              <w:t>经济性质</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158431C4">
            <w:pPr>
              <w:jc w:val="center"/>
              <w:rPr>
                <w:kern w:val="0"/>
                <w:sz w:val="20"/>
              </w:rPr>
            </w:pPr>
            <w:r>
              <w:rPr>
                <w:kern w:val="0"/>
                <w:sz w:val="20"/>
              </w:rPr>
              <w:t>有限责任公司</w:t>
            </w:r>
          </w:p>
        </w:tc>
      </w:tr>
      <w:tr w14:paraId="3C09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09" w:type="pct"/>
            <w:gridSpan w:val="2"/>
            <w:vAlign w:val="center"/>
          </w:tcPr>
          <w:p w14:paraId="33A02122">
            <w:pPr>
              <w:jc w:val="center"/>
              <w:rPr>
                <w:kern w:val="0"/>
                <w:sz w:val="20"/>
              </w:rPr>
            </w:pPr>
            <w:r>
              <w:rPr>
                <w:kern w:val="0"/>
                <w:sz w:val="20"/>
              </w:rPr>
              <w:t>注册地址</w:t>
            </w:r>
          </w:p>
        </w:tc>
        <w:tc>
          <w:tcPr>
            <w:tcW w:w="1641" w:type="pct"/>
            <w:gridSpan w:val="4"/>
            <w:tcBorders>
              <w:top w:val="single" w:color="auto" w:sz="4" w:space="0"/>
              <w:left w:val="single" w:color="auto" w:sz="4" w:space="0"/>
              <w:bottom w:val="single" w:color="auto" w:sz="4" w:space="0"/>
              <w:right w:val="single" w:color="auto" w:sz="4" w:space="0"/>
            </w:tcBorders>
            <w:vAlign w:val="center"/>
          </w:tcPr>
          <w:p w14:paraId="3F40DF35">
            <w:pPr>
              <w:jc w:val="center"/>
              <w:rPr>
                <w:kern w:val="0"/>
                <w:sz w:val="20"/>
              </w:rPr>
            </w:pPr>
            <w:r>
              <w:rPr>
                <w:kern w:val="0"/>
                <w:sz w:val="20"/>
              </w:rPr>
              <w:t>新北区罗溪镇旺田路28号</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674C9610">
            <w:pPr>
              <w:jc w:val="center"/>
              <w:rPr>
                <w:kern w:val="0"/>
                <w:sz w:val="20"/>
              </w:rPr>
            </w:pPr>
            <w:r>
              <w:rPr>
                <w:kern w:val="0"/>
                <w:sz w:val="20"/>
              </w:rPr>
              <w:t>企业代码</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2135562A">
            <w:pPr>
              <w:jc w:val="center"/>
              <w:rPr>
                <w:kern w:val="0"/>
                <w:sz w:val="20"/>
              </w:rPr>
            </w:pPr>
            <w:r>
              <w:rPr>
                <w:kern w:val="0"/>
                <w:sz w:val="20"/>
              </w:rPr>
              <w:t>91320411MA221NWP9G</w:t>
            </w:r>
          </w:p>
        </w:tc>
      </w:tr>
      <w:tr w14:paraId="2F6B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909" w:type="pct"/>
            <w:gridSpan w:val="2"/>
            <w:vAlign w:val="center"/>
          </w:tcPr>
          <w:p w14:paraId="123B7F01">
            <w:pPr>
              <w:jc w:val="center"/>
              <w:rPr>
                <w:kern w:val="0"/>
                <w:sz w:val="20"/>
              </w:rPr>
            </w:pPr>
            <w:r>
              <w:rPr>
                <w:kern w:val="0"/>
                <w:sz w:val="20"/>
              </w:rPr>
              <w:t>经营场所地址</w:t>
            </w:r>
          </w:p>
        </w:tc>
        <w:tc>
          <w:tcPr>
            <w:tcW w:w="1641" w:type="pct"/>
            <w:gridSpan w:val="4"/>
            <w:tcBorders>
              <w:top w:val="single" w:color="auto" w:sz="4" w:space="0"/>
              <w:left w:val="single" w:color="auto" w:sz="4" w:space="0"/>
              <w:bottom w:val="single" w:color="auto" w:sz="4" w:space="0"/>
              <w:right w:val="single" w:color="auto" w:sz="4" w:space="0"/>
            </w:tcBorders>
            <w:vAlign w:val="center"/>
          </w:tcPr>
          <w:p w14:paraId="7C61E3B4">
            <w:pPr>
              <w:pStyle w:val="6"/>
              <w:jc w:val="center"/>
              <w:rPr>
                <w:rFonts w:ascii="Times New Roman"/>
                <w:sz w:val="20"/>
              </w:rPr>
            </w:pPr>
            <w:r>
              <w:rPr>
                <w:rFonts w:ascii="Times New Roman"/>
                <w:kern w:val="0"/>
                <w:sz w:val="20"/>
              </w:rPr>
              <w:t>新北区罗溪镇旺田路26号</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606D09B7">
            <w:pPr>
              <w:jc w:val="center"/>
              <w:rPr>
                <w:kern w:val="0"/>
                <w:sz w:val="20"/>
              </w:rPr>
            </w:pPr>
            <w:r>
              <w:rPr>
                <w:kern w:val="0"/>
                <w:sz w:val="20"/>
              </w:rPr>
              <w:t>固定资产总值</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229D240E">
            <w:pPr>
              <w:jc w:val="center"/>
              <w:rPr>
                <w:kern w:val="0"/>
                <w:sz w:val="20"/>
              </w:rPr>
            </w:pPr>
            <w:r>
              <w:rPr>
                <w:kern w:val="0"/>
                <w:sz w:val="20"/>
              </w:rPr>
              <w:t>1000万</w:t>
            </w:r>
          </w:p>
        </w:tc>
      </w:tr>
      <w:tr w14:paraId="7A2C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909" w:type="pct"/>
            <w:gridSpan w:val="2"/>
            <w:vAlign w:val="center"/>
          </w:tcPr>
          <w:p w14:paraId="2678C0C3">
            <w:pPr>
              <w:tabs>
                <w:tab w:val="left" w:pos="459"/>
                <w:tab w:val="center" w:pos="1056"/>
              </w:tabs>
              <w:jc w:val="center"/>
              <w:rPr>
                <w:kern w:val="0"/>
                <w:sz w:val="20"/>
              </w:rPr>
            </w:pPr>
            <w:r>
              <w:rPr>
                <w:kern w:val="0"/>
                <w:sz w:val="20"/>
              </w:rPr>
              <w:t>注册资金</w:t>
            </w:r>
          </w:p>
        </w:tc>
        <w:tc>
          <w:tcPr>
            <w:tcW w:w="1641" w:type="pct"/>
            <w:gridSpan w:val="4"/>
            <w:tcBorders>
              <w:top w:val="single" w:color="auto" w:sz="4" w:space="0"/>
              <w:left w:val="single" w:color="auto" w:sz="4" w:space="0"/>
              <w:bottom w:val="single" w:color="auto" w:sz="4" w:space="0"/>
              <w:right w:val="single" w:color="auto" w:sz="4" w:space="0"/>
            </w:tcBorders>
            <w:vAlign w:val="center"/>
          </w:tcPr>
          <w:p w14:paraId="22FBFE1C">
            <w:pPr>
              <w:jc w:val="center"/>
              <w:rPr>
                <w:kern w:val="0"/>
                <w:sz w:val="20"/>
              </w:rPr>
            </w:pPr>
            <w:r>
              <w:rPr>
                <w:kern w:val="0"/>
                <w:sz w:val="20"/>
              </w:rPr>
              <w:t>7000万元人民币</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5BF7DD7F">
            <w:pPr>
              <w:jc w:val="center"/>
              <w:rPr>
                <w:kern w:val="0"/>
                <w:sz w:val="20"/>
              </w:rPr>
            </w:pPr>
            <w:r>
              <w:rPr>
                <w:kern w:val="0"/>
                <w:sz w:val="20"/>
              </w:rPr>
              <w:t>法人代表</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33D88380">
            <w:pPr>
              <w:jc w:val="center"/>
              <w:rPr>
                <w:kern w:val="0"/>
                <w:sz w:val="20"/>
              </w:rPr>
            </w:pPr>
            <w:r>
              <w:rPr>
                <w:kern w:val="0"/>
                <w:sz w:val="20"/>
              </w:rPr>
              <w:t>王怀栋</w:t>
            </w:r>
          </w:p>
        </w:tc>
      </w:tr>
      <w:tr w14:paraId="318F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909" w:type="pct"/>
            <w:gridSpan w:val="2"/>
            <w:vAlign w:val="center"/>
          </w:tcPr>
          <w:p w14:paraId="3A5BE66C">
            <w:pPr>
              <w:jc w:val="center"/>
              <w:rPr>
                <w:kern w:val="0"/>
                <w:sz w:val="20"/>
              </w:rPr>
            </w:pPr>
            <w:r>
              <w:rPr>
                <w:kern w:val="0"/>
                <w:sz w:val="20"/>
              </w:rPr>
              <w:t>成立时间</w:t>
            </w:r>
          </w:p>
        </w:tc>
        <w:tc>
          <w:tcPr>
            <w:tcW w:w="1641" w:type="pct"/>
            <w:gridSpan w:val="4"/>
            <w:tcBorders>
              <w:top w:val="single" w:color="auto" w:sz="4" w:space="0"/>
              <w:left w:val="single" w:color="auto" w:sz="4" w:space="0"/>
              <w:bottom w:val="single" w:color="auto" w:sz="4" w:space="0"/>
              <w:right w:val="single" w:color="auto" w:sz="4" w:space="0"/>
            </w:tcBorders>
            <w:vAlign w:val="center"/>
          </w:tcPr>
          <w:p w14:paraId="36EFBC11">
            <w:pPr>
              <w:jc w:val="center"/>
              <w:rPr>
                <w:kern w:val="0"/>
                <w:sz w:val="20"/>
              </w:rPr>
            </w:pPr>
            <w:r>
              <w:rPr>
                <w:kern w:val="0"/>
                <w:sz w:val="20"/>
              </w:rPr>
              <w:t>2020年7月22日</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155C9D87">
            <w:pPr>
              <w:jc w:val="center"/>
              <w:rPr>
                <w:kern w:val="0"/>
                <w:sz w:val="20"/>
              </w:rPr>
            </w:pPr>
            <w:r>
              <w:rPr>
                <w:kern w:val="0"/>
                <w:sz w:val="20"/>
              </w:rPr>
              <w:t>单位总人数</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74557BC2">
            <w:pPr>
              <w:jc w:val="center"/>
              <w:rPr>
                <w:kern w:val="0"/>
                <w:sz w:val="20"/>
              </w:rPr>
            </w:pPr>
            <w:r>
              <w:rPr>
                <w:kern w:val="0"/>
                <w:sz w:val="20"/>
              </w:rPr>
              <w:t>20人</w:t>
            </w:r>
          </w:p>
        </w:tc>
      </w:tr>
      <w:tr w14:paraId="09F1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909" w:type="pct"/>
            <w:gridSpan w:val="2"/>
            <w:vAlign w:val="center"/>
          </w:tcPr>
          <w:p w14:paraId="28376FB3">
            <w:pPr>
              <w:jc w:val="center"/>
              <w:rPr>
                <w:kern w:val="0"/>
                <w:sz w:val="20"/>
              </w:rPr>
            </w:pPr>
            <w:r>
              <w:rPr>
                <w:kern w:val="0"/>
                <w:sz w:val="20"/>
              </w:rPr>
              <w:t>租赁面积</w:t>
            </w:r>
          </w:p>
        </w:tc>
        <w:tc>
          <w:tcPr>
            <w:tcW w:w="1641" w:type="pct"/>
            <w:gridSpan w:val="4"/>
            <w:vAlign w:val="center"/>
          </w:tcPr>
          <w:p w14:paraId="551028D9">
            <w:pPr>
              <w:jc w:val="center"/>
              <w:rPr>
                <w:kern w:val="0"/>
                <w:sz w:val="20"/>
              </w:rPr>
            </w:pPr>
            <w:r>
              <w:rPr>
                <w:kern w:val="0"/>
                <w:sz w:val="20"/>
              </w:rPr>
              <w:t>2000平方米</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2B936715">
            <w:pPr>
              <w:jc w:val="center"/>
              <w:rPr>
                <w:kern w:val="0"/>
                <w:sz w:val="20"/>
              </w:rPr>
            </w:pPr>
            <w:r>
              <w:rPr>
                <w:kern w:val="0"/>
                <w:sz w:val="20"/>
              </w:rPr>
              <w:t>建筑面积</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4CFF77ED">
            <w:pPr>
              <w:jc w:val="center"/>
              <w:rPr>
                <w:kern w:val="0"/>
                <w:sz w:val="20"/>
              </w:rPr>
            </w:pPr>
            <w:r>
              <w:rPr>
                <w:kern w:val="0"/>
                <w:sz w:val="20"/>
              </w:rPr>
              <w:t>2000平方米</w:t>
            </w:r>
          </w:p>
        </w:tc>
      </w:tr>
      <w:tr w14:paraId="4BA9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909" w:type="pct"/>
            <w:gridSpan w:val="2"/>
            <w:vAlign w:val="center"/>
          </w:tcPr>
          <w:p w14:paraId="64825B2B">
            <w:pPr>
              <w:jc w:val="center"/>
              <w:rPr>
                <w:kern w:val="0"/>
                <w:sz w:val="20"/>
              </w:rPr>
            </w:pPr>
            <w:r>
              <w:rPr>
                <w:kern w:val="0"/>
                <w:sz w:val="20"/>
              </w:rPr>
              <w:t>电   话</w:t>
            </w:r>
          </w:p>
        </w:tc>
        <w:tc>
          <w:tcPr>
            <w:tcW w:w="1641" w:type="pct"/>
            <w:gridSpan w:val="4"/>
            <w:vAlign w:val="center"/>
          </w:tcPr>
          <w:p w14:paraId="0420093B">
            <w:pPr>
              <w:jc w:val="center"/>
              <w:rPr>
                <w:kern w:val="0"/>
                <w:sz w:val="20"/>
              </w:rPr>
            </w:pPr>
            <w:r>
              <w:rPr>
                <w:kern w:val="0"/>
                <w:sz w:val="20"/>
              </w:rPr>
              <w:t>0519-83828366</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41E59EEE">
            <w:pPr>
              <w:jc w:val="center"/>
              <w:rPr>
                <w:kern w:val="0"/>
                <w:sz w:val="20"/>
              </w:rPr>
            </w:pPr>
            <w:r>
              <w:rPr>
                <w:kern w:val="0"/>
                <w:sz w:val="20"/>
              </w:rPr>
              <w:t>传    真</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2AF00A3E">
            <w:pPr>
              <w:jc w:val="center"/>
              <w:rPr>
                <w:kern w:val="0"/>
                <w:sz w:val="20"/>
              </w:rPr>
            </w:pPr>
            <w:r>
              <w:rPr>
                <w:kern w:val="0"/>
                <w:sz w:val="20"/>
              </w:rPr>
              <w:t>0519-83821885</w:t>
            </w:r>
          </w:p>
        </w:tc>
      </w:tr>
      <w:tr w14:paraId="1533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909" w:type="pct"/>
            <w:gridSpan w:val="2"/>
            <w:vAlign w:val="center"/>
          </w:tcPr>
          <w:p w14:paraId="31B44A88">
            <w:pPr>
              <w:jc w:val="center"/>
              <w:rPr>
                <w:kern w:val="0"/>
                <w:sz w:val="20"/>
              </w:rPr>
            </w:pPr>
            <w:r>
              <w:rPr>
                <w:kern w:val="0"/>
                <w:sz w:val="20"/>
              </w:rPr>
              <w:t>电子邮箱</w:t>
            </w:r>
          </w:p>
        </w:tc>
        <w:tc>
          <w:tcPr>
            <w:tcW w:w="1641" w:type="pct"/>
            <w:gridSpan w:val="4"/>
            <w:tcBorders>
              <w:top w:val="single" w:color="auto" w:sz="4" w:space="0"/>
              <w:left w:val="single" w:color="auto" w:sz="4" w:space="0"/>
              <w:bottom w:val="single" w:color="auto" w:sz="4" w:space="0"/>
              <w:right w:val="single" w:color="auto" w:sz="4" w:space="0"/>
            </w:tcBorders>
            <w:vAlign w:val="center"/>
          </w:tcPr>
          <w:p w14:paraId="6ACC7DEE">
            <w:pPr>
              <w:jc w:val="center"/>
              <w:rPr>
                <w:kern w:val="0"/>
                <w:sz w:val="20"/>
              </w:rPr>
            </w:pPr>
            <w:r>
              <w:rPr>
                <w:kern w:val="0"/>
                <w:sz w:val="20"/>
              </w:rPr>
              <w:t>1198582318@qq.com</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11EE8A36">
            <w:pPr>
              <w:jc w:val="center"/>
              <w:rPr>
                <w:kern w:val="0"/>
                <w:sz w:val="20"/>
              </w:rPr>
            </w:pPr>
            <w:r>
              <w:rPr>
                <w:kern w:val="0"/>
                <w:sz w:val="20"/>
              </w:rPr>
              <w:t>邮政编码</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19E8A189">
            <w:pPr>
              <w:jc w:val="center"/>
              <w:rPr>
                <w:kern w:val="0"/>
                <w:sz w:val="20"/>
              </w:rPr>
            </w:pPr>
            <w:r>
              <w:rPr>
                <w:kern w:val="0"/>
                <w:sz w:val="20"/>
              </w:rPr>
              <w:t>213000</w:t>
            </w:r>
          </w:p>
        </w:tc>
      </w:tr>
      <w:tr w14:paraId="19BA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909" w:type="pct"/>
            <w:gridSpan w:val="2"/>
            <w:vAlign w:val="center"/>
          </w:tcPr>
          <w:p w14:paraId="3E92BB67">
            <w:pPr>
              <w:jc w:val="center"/>
              <w:rPr>
                <w:kern w:val="0"/>
                <w:sz w:val="20"/>
              </w:rPr>
            </w:pPr>
            <w:r>
              <w:rPr>
                <w:kern w:val="0"/>
                <w:sz w:val="20"/>
              </w:rPr>
              <w:t>联系人</w:t>
            </w:r>
          </w:p>
        </w:tc>
        <w:tc>
          <w:tcPr>
            <w:tcW w:w="1641" w:type="pct"/>
            <w:gridSpan w:val="4"/>
            <w:tcBorders>
              <w:top w:val="single" w:color="auto" w:sz="4" w:space="0"/>
              <w:left w:val="single" w:color="auto" w:sz="4" w:space="0"/>
              <w:bottom w:val="single" w:color="auto" w:sz="4" w:space="0"/>
              <w:right w:val="single" w:color="auto" w:sz="4" w:space="0"/>
            </w:tcBorders>
            <w:vAlign w:val="center"/>
          </w:tcPr>
          <w:p w14:paraId="44820B2A">
            <w:pPr>
              <w:jc w:val="center"/>
              <w:rPr>
                <w:kern w:val="0"/>
                <w:sz w:val="20"/>
              </w:rPr>
            </w:pPr>
            <w:r>
              <w:rPr>
                <w:kern w:val="0"/>
                <w:sz w:val="20"/>
              </w:rPr>
              <w:t>蒋建霞</w:t>
            </w:r>
          </w:p>
        </w:tc>
        <w:tc>
          <w:tcPr>
            <w:tcW w:w="794" w:type="pct"/>
            <w:gridSpan w:val="2"/>
            <w:tcBorders>
              <w:top w:val="single" w:color="auto" w:sz="4" w:space="0"/>
              <w:left w:val="single" w:color="auto" w:sz="4" w:space="0"/>
              <w:bottom w:val="single" w:color="auto" w:sz="4" w:space="0"/>
              <w:right w:val="single" w:color="auto" w:sz="4" w:space="0"/>
            </w:tcBorders>
            <w:vAlign w:val="center"/>
          </w:tcPr>
          <w:p w14:paraId="34029346">
            <w:pPr>
              <w:jc w:val="center"/>
              <w:rPr>
                <w:kern w:val="0"/>
                <w:sz w:val="20"/>
              </w:rPr>
            </w:pPr>
            <w:r>
              <w:rPr>
                <w:kern w:val="0"/>
                <w:sz w:val="20"/>
              </w:rPr>
              <w:t>联系人电话</w:t>
            </w:r>
          </w:p>
        </w:tc>
        <w:tc>
          <w:tcPr>
            <w:tcW w:w="1656" w:type="pct"/>
            <w:gridSpan w:val="3"/>
            <w:tcBorders>
              <w:top w:val="single" w:color="auto" w:sz="4" w:space="0"/>
              <w:left w:val="single" w:color="auto" w:sz="4" w:space="0"/>
              <w:bottom w:val="single" w:color="auto" w:sz="4" w:space="0"/>
              <w:right w:val="single" w:color="auto" w:sz="4" w:space="0"/>
            </w:tcBorders>
            <w:vAlign w:val="center"/>
          </w:tcPr>
          <w:p w14:paraId="467E1A35">
            <w:pPr>
              <w:jc w:val="center"/>
              <w:rPr>
                <w:kern w:val="0"/>
                <w:sz w:val="20"/>
              </w:rPr>
            </w:pPr>
            <w:r>
              <w:rPr>
                <w:kern w:val="0"/>
                <w:sz w:val="20"/>
              </w:rPr>
              <w:t>13775072832</w:t>
            </w:r>
          </w:p>
        </w:tc>
      </w:tr>
      <w:tr w14:paraId="278D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380" w:type="pct"/>
            <w:vAlign w:val="center"/>
          </w:tcPr>
          <w:p w14:paraId="6D225CA9">
            <w:pPr>
              <w:jc w:val="center"/>
              <w:rPr>
                <w:kern w:val="0"/>
                <w:sz w:val="20"/>
              </w:rPr>
            </w:pPr>
            <w:r>
              <w:rPr>
                <w:kern w:val="0"/>
                <w:sz w:val="20"/>
              </w:rPr>
              <w:t>单位主要负责人</w:t>
            </w:r>
          </w:p>
        </w:tc>
        <w:tc>
          <w:tcPr>
            <w:tcW w:w="529" w:type="pct"/>
            <w:tcBorders>
              <w:top w:val="single" w:color="auto" w:sz="4" w:space="0"/>
              <w:left w:val="single" w:color="auto" w:sz="4" w:space="0"/>
              <w:bottom w:val="single" w:color="auto" w:sz="4" w:space="0"/>
              <w:right w:val="single" w:color="auto" w:sz="4" w:space="0"/>
            </w:tcBorders>
            <w:vAlign w:val="center"/>
          </w:tcPr>
          <w:p w14:paraId="075BC1B5">
            <w:pPr>
              <w:jc w:val="center"/>
              <w:rPr>
                <w:kern w:val="0"/>
                <w:sz w:val="20"/>
              </w:rPr>
            </w:pPr>
            <w:r>
              <w:rPr>
                <w:sz w:val="20"/>
              </w:rPr>
              <w:t>姓 名</w:t>
            </w:r>
          </w:p>
        </w:tc>
        <w:tc>
          <w:tcPr>
            <w:tcW w:w="403" w:type="pct"/>
            <w:tcBorders>
              <w:top w:val="single" w:color="auto" w:sz="4" w:space="0"/>
              <w:left w:val="single" w:color="auto" w:sz="4" w:space="0"/>
              <w:bottom w:val="single" w:color="auto" w:sz="4" w:space="0"/>
              <w:right w:val="single" w:color="auto" w:sz="4" w:space="0"/>
            </w:tcBorders>
            <w:vAlign w:val="center"/>
          </w:tcPr>
          <w:p w14:paraId="6BE59C6B">
            <w:pPr>
              <w:jc w:val="center"/>
              <w:rPr>
                <w:kern w:val="0"/>
                <w:sz w:val="20"/>
              </w:rPr>
            </w:pPr>
            <w:r>
              <w:rPr>
                <w:sz w:val="20"/>
              </w:rPr>
              <w:t>性 别</w:t>
            </w:r>
          </w:p>
        </w:tc>
        <w:tc>
          <w:tcPr>
            <w:tcW w:w="390" w:type="pct"/>
            <w:tcBorders>
              <w:top w:val="single" w:color="auto" w:sz="4" w:space="0"/>
              <w:left w:val="single" w:color="auto" w:sz="4" w:space="0"/>
              <w:bottom w:val="single" w:color="auto" w:sz="4" w:space="0"/>
              <w:right w:val="single" w:color="auto" w:sz="4" w:space="0"/>
            </w:tcBorders>
            <w:vAlign w:val="center"/>
          </w:tcPr>
          <w:p w14:paraId="30CA9AA0">
            <w:pPr>
              <w:jc w:val="center"/>
              <w:rPr>
                <w:kern w:val="0"/>
                <w:sz w:val="20"/>
              </w:rPr>
            </w:pPr>
            <w:r>
              <w:rPr>
                <w:sz w:val="20"/>
              </w:rPr>
              <w:t>年 龄</w:t>
            </w:r>
          </w:p>
        </w:tc>
        <w:tc>
          <w:tcPr>
            <w:tcW w:w="546" w:type="pct"/>
            <w:tcBorders>
              <w:top w:val="single" w:color="auto" w:sz="4" w:space="0"/>
              <w:left w:val="single" w:color="auto" w:sz="4" w:space="0"/>
              <w:bottom w:val="single" w:color="auto" w:sz="4" w:space="0"/>
              <w:right w:val="single" w:color="auto" w:sz="4" w:space="0"/>
            </w:tcBorders>
            <w:vAlign w:val="center"/>
          </w:tcPr>
          <w:p w14:paraId="3B3A920F">
            <w:pPr>
              <w:jc w:val="center"/>
              <w:rPr>
                <w:kern w:val="0"/>
                <w:sz w:val="20"/>
              </w:rPr>
            </w:pPr>
            <w:r>
              <w:rPr>
                <w:sz w:val="20"/>
              </w:rPr>
              <w:t>职 务</w:t>
            </w:r>
          </w:p>
        </w:tc>
        <w:tc>
          <w:tcPr>
            <w:tcW w:w="639" w:type="pct"/>
            <w:gridSpan w:val="2"/>
            <w:tcBorders>
              <w:top w:val="single" w:color="auto" w:sz="4" w:space="0"/>
              <w:left w:val="single" w:color="auto" w:sz="4" w:space="0"/>
              <w:bottom w:val="single" w:color="auto" w:sz="4" w:space="0"/>
              <w:right w:val="single" w:color="auto" w:sz="4" w:space="0"/>
            </w:tcBorders>
            <w:vAlign w:val="center"/>
          </w:tcPr>
          <w:p w14:paraId="5561BA74">
            <w:pPr>
              <w:jc w:val="center"/>
              <w:rPr>
                <w:kern w:val="0"/>
                <w:sz w:val="20"/>
              </w:rPr>
            </w:pPr>
            <w:r>
              <w:rPr>
                <w:sz w:val="20"/>
              </w:rPr>
              <w:t>职 称</w:t>
            </w:r>
          </w:p>
        </w:tc>
        <w:tc>
          <w:tcPr>
            <w:tcW w:w="456" w:type="pct"/>
            <w:tcBorders>
              <w:top w:val="single" w:color="auto" w:sz="4" w:space="0"/>
              <w:left w:val="single" w:color="auto" w:sz="4" w:space="0"/>
              <w:bottom w:val="single" w:color="auto" w:sz="4" w:space="0"/>
              <w:right w:val="single" w:color="auto" w:sz="4" w:space="0"/>
            </w:tcBorders>
            <w:vAlign w:val="center"/>
          </w:tcPr>
          <w:p w14:paraId="3428414B">
            <w:pPr>
              <w:jc w:val="center"/>
              <w:rPr>
                <w:sz w:val="20"/>
              </w:rPr>
            </w:pPr>
            <w:r>
              <w:rPr>
                <w:sz w:val="20"/>
              </w:rPr>
              <w:t>文化</w:t>
            </w:r>
          </w:p>
          <w:p w14:paraId="10248063">
            <w:pPr>
              <w:jc w:val="center"/>
              <w:rPr>
                <w:kern w:val="0"/>
                <w:sz w:val="20"/>
              </w:rPr>
            </w:pPr>
            <w:r>
              <w:rPr>
                <w:sz w:val="20"/>
              </w:rPr>
              <w:t>程度</w:t>
            </w:r>
          </w:p>
        </w:tc>
        <w:tc>
          <w:tcPr>
            <w:tcW w:w="654" w:type="pct"/>
            <w:tcBorders>
              <w:top w:val="single" w:color="auto" w:sz="4" w:space="0"/>
              <w:left w:val="single" w:color="auto" w:sz="4" w:space="0"/>
              <w:bottom w:val="single" w:color="auto" w:sz="4" w:space="0"/>
              <w:right w:val="single" w:color="auto" w:sz="4" w:space="0"/>
            </w:tcBorders>
            <w:vAlign w:val="center"/>
          </w:tcPr>
          <w:p w14:paraId="204D1536">
            <w:pPr>
              <w:jc w:val="center"/>
              <w:rPr>
                <w:kern w:val="0"/>
                <w:sz w:val="20"/>
              </w:rPr>
            </w:pPr>
            <w:r>
              <w:rPr>
                <w:sz w:val="20"/>
              </w:rPr>
              <w:t>专 业</w:t>
            </w:r>
          </w:p>
        </w:tc>
        <w:tc>
          <w:tcPr>
            <w:tcW w:w="515" w:type="pct"/>
            <w:tcBorders>
              <w:top w:val="single" w:color="auto" w:sz="4" w:space="0"/>
              <w:left w:val="single" w:color="auto" w:sz="4" w:space="0"/>
              <w:bottom w:val="single" w:color="auto" w:sz="4" w:space="0"/>
              <w:right w:val="single" w:color="auto" w:sz="4" w:space="0"/>
            </w:tcBorders>
            <w:vAlign w:val="center"/>
          </w:tcPr>
          <w:p w14:paraId="4F6029D8">
            <w:pPr>
              <w:jc w:val="center"/>
              <w:rPr>
                <w:kern w:val="0"/>
                <w:sz w:val="20"/>
              </w:rPr>
            </w:pPr>
            <w:r>
              <w:rPr>
                <w:sz w:val="20"/>
              </w:rPr>
              <w:t>本专业工作年限</w:t>
            </w:r>
          </w:p>
        </w:tc>
        <w:tc>
          <w:tcPr>
            <w:tcW w:w="487" w:type="pct"/>
            <w:tcBorders>
              <w:top w:val="single" w:color="auto" w:sz="4" w:space="0"/>
              <w:left w:val="single" w:color="auto" w:sz="4" w:space="0"/>
              <w:bottom w:val="single" w:color="auto" w:sz="4" w:space="0"/>
              <w:right w:val="single" w:color="auto" w:sz="4" w:space="0"/>
            </w:tcBorders>
            <w:vAlign w:val="center"/>
          </w:tcPr>
          <w:p w14:paraId="1A1FAC5F">
            <w:pPr>
              <w:jc w:val="center"/>
              <w:rPr>
                <w:sz w:val="20"/>
              </w:rPr>
            </w:pPr>
            <w:r>
              <w:rPr>
                <w:sz w:val="20"/>
              </w:rPr>
              <w:t>工作</w:t>
            </w:r>
          </w:p>
          <w:p w14:paraId="164E0428">
            <w:pPr>
              <w:jc w:val="center"/>
              <w:rPr>
                <w:kern w:val="0"/>
                <w:sz w:val="20"/>
              </w:rPr>
            </w:pPr>
            <w:r>
              <w:rPr>
                <w:sz w:val="20"/>
              </w:rPr>
              <w:t>岗位</w:t>
            </w:r>
          </w:p>
        </w:tc>
      </w:tr>
    </w:tbl>
    <w:p w14:paraId="321D5137">
      <w:pPr>
        <w:pStyle w:val="2"/>
        <w:spacing w:after="0"/>
        <w:rPr>
          <w:sz w:val="32"/>
          <w:szCs w:val="32"/>
        </w:rPr>
      </w:pPr>
      <w:bookmarkStart w:id="7" w:name="_Toc25631"/>
      <w:bookmarkStart w:id="8" w:name="_Toc491184958"/>
      <w:bookmarkStart w:id="9" w:name="_Toc491185130"/>
      <w:r>
        <w:rPr>
          <w:sz w:val="32"/>
          <w:szCs w:val="32"/>
        </w:rPr>
        <w:t>1.1申请经营废物情况</w:t>
      </w:r>
      <w:bookmarkEnd w:id="7"/>
      <w:bookmarkEnd w:id="8"/>
      <w:bookmarkEnd w:id="9"/>
    </w:p>
    <w:tbl>
      <w:tblPr>
        <w:tblStyle w:val="15"/>
        <w:tblpPr w:leftFromText="180" w:rightFromText="180" w:vertAnchor="text" w:horzAnchor="page" w:tblpXSpec="center" w:tblpY="307"/>
        <w:tblOverlap w:val="never"/>
        <w:tblW w:w="10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1"/>
        <w:gridCol w:w="3107"/>
        <w:gridCol w:w="2287"/>
        <w:gridCol w:w="1071"/>
        <w:gridCol w:w="1275"/>
        <w:gridCol w:w="1235"/>
      </w:tblGrid>
      <w:tr w14:paraId="5B83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1" w:type="dxa"/>
            <w:vAlign w:val="center"/>
          </w:tcPr>
          <w:p w14:paraId="1091D26C">
            <w:pPr>
              <w:jc w:val="center"/>
              <w:rPr>
                <w:b/>
                <w:bCs/>
                <w:kern w:val="0"/>
                <w:sz w:val="24"/>
                <w:szCs w:val="24"/>
              </w:rPr>
            </w:pPr>
            <w:r>
              <w:rPr>
                <w:b/>
                <w:bCs/>
                <w:kern w:val="0"/>
                <w:sz w:val="24"/>
                <w:szCs w:val="24"/>
              </w:rPr>
              <w:t>废物名称</w:t>
            </w:r>
          </w:p>
        </w:tc>
        <w:tc>
          <w:tcPr>
            <w:tcW w:w="3107" w:type="dxa"/>
            <w:vAlign w:val="center"/>
          </w:tcPr>
          <w:p w14:paraId="72ABD21C">
            <w:pPr>
              <w:jc w:val="center"/>
              <w:rPr>
                <w:b/>
                <w:bCs/>
                <w:kern w:val="0"/>
                <w:sz w:val="24"/>
                <w:szCs w:val="24"/>
              </w:rPr>
            </w:pPr>
            <w:r>
              <w:rPr>
                <w:b/>
                <w:bCs/>
                <w:kern w:val="0"/>
                <w:sz w:val="24"/>
                <w:szCs w:val="24"/>
              </w:rPr>
              <w:t>类别编号</w:t>
            </w:r>
          </w:p>
        </w:tc>
        <w:tc>
          <w:tcPr>
            <w:tcW w:w="2287" w:type="dxa"/>
            <w:vAlign w:val="center"/>
          </w:tcPr>
          <w:p w14:paraId="551DE1B5">
            <w:pPr>
              <w:jc w:val="center"/>
              <w:rPr>
                <w:b/>
                <w:bCs/>
                <w:kern w:val="0"/>
                <w:sz w:val="24"/>
                <w:szCs w:val="24"/>
              </w:rPr>
            </w:pPr>
            <w:r>
              <w:rPr>
                <w:b/>
                <w:bCs/>
                <w:kern w:val="0"/>
                <w:sz w:val="24"/>
                <w:szCs w:val="24"/>
              </w:rPr>
              <w:t>主要化学成分</w:t>
            </w:r>
          </w:p>
        </w:tc>
        <w:tc>
          <w:tcPr>
            <w:tcW w:w="1071" w:type="dxa"/>
            <w:vAlign w:val="center"/>
          </w:tcPr>
          <w:p w14:paraId="27756C51">
            <w:pPr>
              <w:jc w:val="center"/>
              <w:rPr>
                <w:b/>
                <w:bCs/>
                <w:kern w:val="0"/>
                <w:sz w:val="24"/>
                <w:szCs w:val="24"/>
              </w:rPr>
            </w:pPr>
            <w:r>
              <w:rPr>
                <w:b/>
                <w:bCs/>
                <w:kern w:val="0"/>
                <w:sz w:val="24"/>
                <w:szCs w:val="24"/>
              </w:rPr>
              <w:t>危险特性</w:t>
            </w:r>
          </w:p>
        </w:tc>
        <w:tc>
          <w:tcPr>
            <w:tcW w:w="1275" w:type="dxa"/>
            <w:vAlign w:val="center"/>
          </w:tcPr>
          <w:p w14:paraId="4ED9BAE6">
            <w:pPr>
              <w:jc w:val="center"/>
              <w:rPr>
                <w:b/>
                <w:bCs/>
                <w:kern w:val="0"/>
                <w:sz w:val="24"/>
                <w:szCs w:val="24"/>
              </w:rPr>
            </w:pPr>
            <w:r>
              <w:rPr>
                <w:b/>
                <w:bCs/>
                <w:kern w:val="0"/>
                <w:sz w:val="24"/>
                <w:szCs w:val="24"/>
              </w:rPr>
              <w:t>经营数量</w:t>
            </w:r>
          </w:p>
          <w:p w14:paraId="2825AA8A">
            <w:pPr>
              <w:jc w:val="center"/>
              <w:rPr>
                <w:b/>
                <w:bCs/>
                <w:kern w:val="0"/>
                <w:sz w:val="24"/>
                <w:szCs w:val="24"/>
              </w:rPr>
            </w:pPr>
            <w:r>
              <w:rPr>
                <w:b/>
                <w:bCs/>
                <w:kern w:val="0"/>
                <w:sz w:val="24"/>
                <w:szCs w:val="24"/>
              </w:rPr>
              <w:t>（吨/年）</w:t>
            </w:r>
          </w:p>
        </w:tc>
        <w:tc>
          <w:tcPr>
            <w:tcW w:w="1235" w:type="dxa"/>
            <w:vAlign w:val="center"/>
          </w:tcPr>
          <w:p w14:paraId="4E542B2E">
            <w:pPr>
              <w:jc w:val="center"/>
              <w:rPr>
                <w:b/>
                <w:bCs/>
                <w:kern w:val="0"/>
                <w:sz w:val="24"/>
                <w:szCs w:val="24"/>
              </w:rPr>
            </w:pPr>
            <w:r>
              <w:rPr>
                <w:b/>
                <w:bCs/>
                <w:kern w:val="0"/>
                <w:sz w:val="24"/>
                <w:szCs w:val="24"/>
              </w:rPr>
              <w:t>经营方式</w:t>
            </w:r>
          </w:p>
        </w:tc>
      </w:tr>
      <w:tr w14:paraId="7759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1" w:type="dxa"/>
            <w:vAlign w:val="center"/>
          </w:tcPr>
          <w:p w14:paraId="132968BD">
            <w:pPr>
              <w:jc w:val="center"/>
              <w:rPr>
                <w:kern w:val="0"/>
                <w:sz w:val="24"/>
                <w:szCs w:val="24"/>
              </w:rPr>
            </w:pPr>
            <w:r>
              <w:rPr>
                <w:kern w:val="0"/>
                <w:sz w:val="24"/>
                <w:szCs w:val="24"/>
              </w:rPr>
              <w:t>含铜污泥</w:t>
            </w:r>
          </w:p>
        </w:tc>
        <w:tc>
          <w:tcPr>
            <w:tcW w:w="3107" w:type="dxa"/>
            <w:vAlign w:val="center"/>
          </w:tcPr>
          <w:p w14:paraId="4723FE92">
            <w:pPr>
              <w:pStyle w:val="6"/>
              <w:jc w:val="center"/>
              <w:rPr>
                <w:rFonts w:ascii="Times New Roman"/>
                <w:szCs w:val="24"/>
              </w:rPr>
            </w:pPr>
            <w:r>
              <w:rPr>
                <w:rFonts w:ascii="Times New Roman"/>
                <w:szCs w:val="24"/>
              </w:rPr>
              <w:t>HW22</w:t>
            </w:r>
          </w:p>
          <w:p w14:paraId="13BBCFA0">
            <w:pPr>
              <w:pStyle w:val="6"/>
              <w:jc w:val="center"/>
              <w:rPr>
                <w:rFonts w:ascii="Times New Roman"/>
                <w:szCs w:val="24"/>
              </w:rPr>
            </w:pPr>
            <w:r>
              <w:rPr>
                <w:rFonts w:ascii="Times New Roman"/>
                <w:szCs w:val="24"/>
              </w:rPr>
              <w:t>(398-005-22、398-051-22)</w:t>
            </w:r>
          </w:p>
        </w:tc>
        <w:tc>
          <w:tcPr>
            <w:tcW w:w="2287" w:type="dxa"/>
            <w:vAlign w:val="center"/>
          </w:tcPr>
          <w:p w14:paraId="25C714FF">
            <w:pPr>
              <w:pStyle w:val="6"/>
              <w:jc w:val="center"/>
              <w:rPr>
                <w:rFonts w:ascii="Times New Roman"/>
                <w:kern w:val="0"/>
                <w:szCs w:val="24"/>
              </w:rPr>
            </w:pPr>
            <w:r>
              <w:rPr>
                <w:rFonts w:ascii="Times New Roman"/>
                <w:sz w:val="21"/>
                <w:szCs w:val="21"/>
              </w:rPr>
              <w:t>水、有机物、铜、灰分</w:t>
            </w:r>
          </w:p>
        </w:tc>
        <w:tc>
          <w:tcPr>
            <w:tcW w:w="1071" w:type="dxa"/>
            <w:vAlign w:val="center"/>
          </w:tcPr>
          <w:p w14:paraId="42EF9F3C">
            <w:pPr>
              <w:jc w:val="center"/>
              <w:rPr>
                <w:kern w:val="0"/>
                <w:sz w:val="24"/>
                <w:szCs w:val="24"/>
              </w:rPr>
            </w:pPr>
            <w:r>
              <w:rPr>
                <w:kern w:val="0"/>
                <w:sz w:val="24"/>
                <w:szCs w:val="24"/>
              </w:rPr>
              <w:t>T</w:t>
            </w:r>
          </w:p>
        </w:tc>
        <w:tc>
          <w:tcPr>
            <w:tcW w:w="1275" w:type="dxa"/>
            <w:vAlign w:val="center"/>
          </w:tcPr>
          <w:p w14:paraId="7FB9D344">
            <w:pPr>
              <w:jc w:val="center"/>
              <w:rPr>
                <w:kern w:val="0"/>
                <w:sz w:val="24"/>
                <w:szCs w:val="24"/>
              </w:rPr>
            </w:pPr>
            <w:r>
              <w:rPr>
                <w:kern w:val="0"/>
                <w:sz w:val="24"/>
                <w:szCs w:val="24"/>
              </w:rPr>
              <w:t>20000</w:t>
            </w:r>
          </w:p>
        </w:tc>
        <w:tc>
          <w:tcPr>
            <w:tcW w:w="1235" w:type="dxa"/>
            <w:vAlign w:val="center"/>
          </w:tcPr>
          <w:p w14:paraId="220B3CB3">
            <w:pPr>
              <w:jc w:val="center"/>
              <w:rPr>
                <w:kern w:val="0"/>
                <w:sz w:val="24"/>
                <w:szCs w:val="24"/>
              </w:rPr>
            </w:pPr>
            <w:r>
              <w:rPr>
                <w:kern w:val="0"/>
                <w:sz w:val="24"/>
                <w:szCs w:val="24"/>
              </w:rPr>
              <w:t>D16</w:t>
            </w:r>
          </w:p>
        </w:tc>
      </w:tr>
    </w:tbl>
    <w:p w14:paraId="33362CBF">
      <w:pPr>
        <w:pStyle w:val="2"/>
        <w:spacing w:before="0" w:after="0"/>
        <w:rPr>
          <w:sz w:val="32"/>
          <w:szCs w:val="32"/>
        </w:rPr>
      </w:pPr>
      <w:bookmarkStart w:id="10" w:name="_Toc491184959"/>
      <w:bookmarkStart w:id="11" w:name="_Toc491185131"/>
      <w:bookmarkStart w:id="12" w:name="_Toc11498"/>
      <w:r>
        <w:rPr>
          <w:sz w:val="32"/>
          <w:szCs w:val="32"/>
        </w:rPr>
        <w:t>1.2主要经营设施及设备</w:t>
      </w:r>
      <w:bookmarkEnd w:id="10"/>
      <w:bookmarkEnd w:id="11"/>
      <w:bookmarkEnd w:id="12"/>
      <w:bookmarkStart w:id="13" w:name="_Toc491184960"/>
      <w:bookmarkStart w:id="14" w:name="_Toc491185132"/>
    </w:p>
    <w:tbl>
      <w:tblPr>
        <w:tblStyle w:val="15"/>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3"/>
        <w:gridCol w:w="670"/>
        <w:gridCol w:w="2622"/>
        <w:gridCol w:w="1645"/>
        <w:gridCol w:w="1064"/>
        <w:gridCol w:w="1180"/>
        <w:gridCol w:w="1718"/>
      </w:tblGrid>
      <w:tr w14:paraId="2512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634" w:type="pct"/>
            <w:vMerge w:val="restart"/>
            <w:vAlign w:val="center"/>
          </w:tcPr>
          <w:p w14:paraId="109C5ABE">
            <w:pPr>
              <w:widowControl/>
              <w:wordWrap w:val="0"/>
              <w:jc w:val="center"/>
              <w:rPr>
                <w:b/>
                <w:bCs/>
                <w:color w:val="000000"/>
                <w:kern w:val="0"/>
                <w:szCs w:val="21"/>
              </w:rPr>
            </w:pPr>
            <w:r>
              <w:rPr>
                <w:b/>
                <w:bCs/>
                <w:color w:val="000000"/>
                <w:kern w:val="0"/>
                <w:szCs w:val="21"/>
              </w:rPr>
              <w:t>类别</w:t>
            </w:r>
          </w:p>
        </w:tc>
        <w:tc>
          <w:tcPr>
            <w:tcW w:w="328" w:type="pct"/>
            <w:vMerge w:val="restart"/>
            <w:vAlign w:val="center"/>
          </w:tcPr>
          <w:p w14:paraId="0B5A85A6">
            <w:pPr>
              <w:widowControl/>
              <w:wordWrap w:val="0"/>
              <w:jc w:val="center"/>
              <w:rPr>
                <w:b/>
                <w:bCs/>
                <w:color w:val="000000"/>
                <w:kern w:val="0"/>
                <w:szCs w:val="21"/>
              </w:rPr>
            </w:pPr>
            <w:r>
              <w:rPr>
                <w:b/>
                <w:bCs/>
                <w:color w:val="000000"/>
                <w:kern w:val="0"/>
                <w:szCs w:val="21"/>
              </w:rPr>
              <w:t>序号</w:t>
            </w:r>
          </w:p>
        </w:tc>
        <w:tc>
          <w:tcPr>
            <w:tcW w:w="1285" w:type="pct"/>
            <w:vMerge w:val="restart"/>
            <w:vAlign w:val="center"/>
          </w:tcPr>
          <w:p w14:paraId="7FD2E2AD">
            <w:pPr>
              <w:widowControl/>
              <w:wordWrap w:val="0"/>
              <w:jc w:val="center"/>
              <w:rPr>
                <w:b/>
                <w:bCs/>
                <w:color w:val="000000"/>
                <w:kern w:val="0"/>
                <w:szCs w:val="21"/>
              </w:rPr>
            </w:pPr>
            <w:r>
              <w:rPr>
                <w:b/>
                <w:bCs/>
                <w:color w:val="000000"/>
                <w:kern w:val="0"/>
                <w:szCs w:val="21"/>
              </w:rPr>
              <w:t>设备名称</w:t>
            </w:r>
          </w:p>
        </w:tc>
        <w:tc>
          <w:tcPr>
            <w:tcW w:w="807" w:type="pct"/>
            <w:vMerge w:val="restart"/>
            <w:vAlign w:val="center"/>
          </w:tcPr>
          <w:p w14:paraId="6D170197">
            <w:pPr>
              <w:widowControl/>
              <w:wordWrap w:val="0"/>
              <w:jc w:val="center"/>
              <w:rPr>
                <w:b/>
                <w:bCs/>
                <w:color w:val="000000"/>
                <w:kern w:val="0"/>
                <w:szCs w:val="21"/>
              </w:rPr>
            </w:pPr>
            <w:r>
              <w:rPr>
                <w:b/>
                <w:bCs/>
                <w:color w:val="000000"/>
                <w:kern w:val="0"/>
                <w:szCs w:val="21"/>
              </w:rPr>
              <w:t>规格</w:t>
            </w:r>
          </w:p>
        </w:tc>
        <w:tc>
          <w:tcPr>
            <w:tcW w:w="1101" w:type="pct"/>
            <w:gridSpan w:val="2"/>
            <w:vAlign w:val="center"/>
          </w:tcPr>
          <w:p w14:paraId="3CBBC842">
            <w:pPr>
              <w:widowControl/>
              <w:wordWrap w:val="0"/>
              <w:jc w:val="center"/>
              <w:rPr>
                <w:b/>
                <w:bCs/>
                <w:color w:val="000000"/>
                <w:kern w:val="0"/>
                <w:szCs w:val="21"/>
              </w:rPr>
            </w:pPr>
            <w:r>
              <w:rPr>
                <w:b/>
                <w:bCs/>
                <w:color w:val="000000"/>
                <w:kern w:val="0"/>
                <w:szCs w:val="21"/>
              </w:rPr>
              <w:t>工作参数</w:t>
            </w:r>
          </w:p>
        </w:tc>
        <w:tc>
          <w:tcPr>
            <w:tcW w:w="843" w:type="pct"/>
            <w:vMerge w:val="restart"/>
            <w:vAlign w:val="center"/>
          </w:tcPr>
          <w:p w14:paraId="14850C46">
            <w:pPr>
              <w:widowControl/>
              <w:wordWrap w:val="0"/>
              <w:jc w:val="center"/>
              <w:rPr>
                <w:color w:val="000000"/>
                <w:kern w:val="0"/>
                <w:szCs w:val="21"/>
              </w:rPr>
            </w:pPr>
            <w:r>
              <w:rPr>
                <w:b/>
                <w:bCs/>
                <w:color w:val="000000"/>
                <w:kern w:val="0"/>
                <w:szCs w:val="21"/>
              </w:rPr>
              <w:t>地址</w:t>
            </w:r>
          </w:p>
        </w:tc>
      </w:tr>
      <w:tr w14:paraId="4356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634" w:type="pct"/>
            <w:vMerge w:val="continue"/>
            <w:vAlign w:val="center"/>
          </w:tcPr>
          <w:p w14:paraId="0E2B72C2">
            <w:pPr>
              <w:widowControl/>
              <w:wordWrap w:val="0"/>
              <w:jc w:val="center"/>
              <w:rPr>
                <w:b/>
                <w:bCs/>
                <w:color w:val="000000"/>
                <w:kern w:val="0"/>
                <w:szCs w:val="21"/>
              </w:rPr>
            </w:pPr>
          </w:p>
        </w:tc>
        <w:tc>
          <w:tcPr>
            <w:tcW w:w="328" w:type="pct"/>
            <w:vMerge w:val="continue"/>
            <w:vAlign w:val="center"/>
          </w:tcPr>
          <w:p w14:paraId="1FAB4863">
            <w:pPr>
              <w:widowControl/>
              <w:wordWrap w:val="0"/>
              <w:jc w:val="center"/>
              <w:rPr>
                <w:b/>
                <w:bCs/>
                <w:color w:val="000000"/>
                <w:kern w:val="0"/>
                <w:szCs w:val="21"/>
              </w:rPr>
            </w:pPr>
          </w:p>
        </w:tc>
        <w:tc>
          <w:tcPr>
            <w:tcW w:w="1285" w:type="pct"/>
            <w:vMerge w:val="continue"/>
            <w:vAlign w:val="center"/>
          </w:tcPr>
          <w:p w14:paraId="3FF35A3A">
            <w:pPr>
              <w:widowControl/>
              <w:wordWrap w:val="0"/>
              <w:jc w:val="center"/>
              <w:rPr>
                <w:b/>
                <w:bCs/>
                <w:color w:val="000000"/>
                <w:kern w:val="0"/>
                <w:szCs w:val="21"/>
              </w:rPr>
            </w:pPr>
          </w:p>
        </w:tc>
        <w:tc>
          <w:tcPr>
            <w:tcW w:w="807" w:type="pct"/>
            <w:vMerge w:val="continue"/>
            <w:vAlign w:val="center"/>
          </w:tcPr>
          <w:p w14:paraId="37828A54">
            <w:pPr>
              <w:widowControl/>
              <w:wordWrap w:val="0"/>
              <w:jc w:val="center"/>
              <w:rPr>
                <w:b/>
                <w:bCs/>
                <w:color w:val="000000"/>
                <w:kern w:val="0"/>
                <w:szCs w:val="21"/>
              </w:rPr>
            </w:pPr>
          </w:p>
        </w:tc>
        <w:tc>
          <w:tcPr>
            <w:tcW w:w="522" w:type="pct"/>
            <w:vAlign w:val="center"/>
          </w:tcPr>
          <w:p w14:paraId="084227F4">
            <w:pPr>
              <w:widowControl/>
              <w:wordWrap w:val="0"/>
              <w:jc w:val="center"/>
              <w:rPr>
                <w:b/>
                <w:bCs/>
                <w:color w:val="000000"/>
                <w:kern w:val="0"/>
                <w:szCs w:val="21"/>
              </w:rPr>
            </w:pPr>
            <w:r>
              <w:rPr>
                <w:b/>
                <w:bCs/>
                <w:color w:val="000000"/>
                <w:kern w:val="0"/>
                <w:szCs w:val="21"/>
              </w:rPr>
              <w:t>温度</w:t>
            </w:r>
          </w:p>
          <w:p w14:paraId="1D0AF3D1">
            <w:pPr>
              <w:widowControl/>
              <w:wordWrap w:val="0"/>
              <w:jc w:val="center"/>
              <w:rPr>
                <w:b/>
                <w:bCs/>
                <w:color w:val="000000"/>
                <w:kern w:val="0"/>
                <w:szCs w:val="21"/>
              </w:rPr>
            </w:pPr>
            <w:r>
              <w:rPr>
                <w:b/>
                <w:bCs/>
                <w:color w:val="000000"/>
                <w:kern w:val="0"/>
                <w:szCs w:val="21"/>
              </w:rPr>
              <w:t>（℃）</w:t>
            </w:r>
          </w:p>
        </w:tc>
        <w:tc>
          <w:tcPr>
            <w:tcW w:w="579" w:type="pct"/>
            <w:vAlign w:val="center"/>
          </w:tcPr>
          <w:p w14:paraId="4FC0EFB5">
            <w:pPr>
              <w:widowControl/>
              <w:wordWrap w:val="0"/>
              <w:jc w:val="center"/>
              <w:rPr>
                <w:b/>
                <w:bCs/>
                <w:color w:val="000000"/>
                <w:kern w:val="0"/>
                <w:szCs w:val="21"/>
              </w:rPr>
            </w:pPr>
            <w:r>
              <w:rPr>
                <w:b/>
                <w:bCs/>
                <w:color w:val="000000"/>
                <w:kern w:val="0"/>
                <w:szCs w:val="21"/>
              </w:rPr>
              <w:t>压力</w:t>
            </w:r>
          </w:p>
          <w:p w14:paraId="12483C7B">
            <w:pPr>
              <w:widowControl/>
              <w:wordWrap w:val="0"/>
              <w:jc w:val="center"/>
              <w:rPr>
                <w:b/>
                <w:bCs/>
                <w:color w:val="000000"/>
                <w:kern w:val="0"/>
                <w:szCs w:val="21"/>
              </w:rPr>
            </w:pPr>
            <w:r>
              <w:rPr>
                <w:b/>
                <w:bCs/>
                <w:color w:val="000000"/>
                <w:kern w:val="0"/>
                <w:szCs w:val="21"/>
              </w:rPr>
              <w:t>（Pa）</w:t>
            </w:r>
          </w:p>
        </w:tc>
        <w:tc>
          <w:tcPr>
            <w:tcW w:w="843" w:type="pct"/>
            <w:vMerge w:val="continue"/>
            <w:vAlign w:val="center"/>
          </w:tcPr>
          <w:p w14:paraId="1584DF20">
            <w:pPr>
              <w:widowControl/>
              <w:wordWrap w:val="0"/>
              <w:jc w:val="center"/>
              <w:rPr>
                <w:color w:val="000000"/>
                <w:kern w:val="0"/>
                <w:szCs w:val="21"/>
              </w:rPr>
            </w:pPr>
          </w:p>
        </w:tc>
      </w:tr>
      <w:tr w14:paraId="170A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Align w:val="center"/>
          </w:tcPr>
          <w:p w14:paraId="48CC3C9C">
            <w:pPr>
              <w:widowControl/>
              <w:wordWrap w:val="0"/>
              <w:jc w:val="center"/>
              <w:rPr>
                <w:color w:val="000000"/>
                <w:kern w:val="0"/>
                <w:szCs w:val="21"/>
              </w:rPr>
            </w:pPr>
            <w:bookmarkStart w:id="15" w:name="_Hlk327192111"/>
            <w:r>
              <w:rPr>
                <w:color w:val="000000"/>
                <w:kern w:val="0"/>
                <w:szCs w:val="21"/>
              </w:rPr>
              <w:t>生产设备</w:t>
            </w:r>
          </w:p>
        </w:tc>
        <w:tc>
          <w:tcPr>
            <w:tcW w:w="328" w:type="pct"/>
            <w:vAlign w:val="center"/>
          </w:tcPr>
          <w:p w14:paraId="75F7AB53">
            <w:pPr>
              <w:widowControl/>
              <w:wordWrap w:val="0"/>
              <w:jc w:val="center"/>
              <w:rPr>
                <w:color w:val="000000"/>
                <w:kern w:val="0"/>
                <w:szCs w:val="21"/>
              </w:rPr>
            </w:pPr>
            <w:r>
              <w:rPr>
                <w:color w:val="000000"/>
                <w:kern w:val="0"/>
                <w:szCs w:val="21"/>
              </w:rPr>
              <w:t>1</w:t>
            </w:r>
          </w:p>
        </w:tc>
        <w:tc>
          <w:tcPr>
            <w:tcW w:w="1285" w:type="pct"/>
            <w:vAlign w:val="center"/>
          </w:tcPr>
          <w:p w14:paraId="2FB410EF">
            <w:pPr>
              <w:wordWrap w:val="0"/>
              <w:jc w:val="center"/>
              <w:rPr>
                <w:color w:val="000000"/>
                <w:szCs w:val="21"/>
              </w:rPr>
            </w:pPr>
            <w:r>
              <w:rPr>
                <w:color w:val="000000"/>
                <w:szCs w:val="21"/>
              </w:rPr>
              <w:t>全自动一体化烘干设备</w:t>
            </w:r>
          </w:p>
        </w:tc>
        <w:tc>
          <w:tcPr>
            <w:tcW w:w="807" w:type="pct"/>
            <w:vAlign w:val="center"/>
          </w:tcPr>
          <w:p w14:paraId="17757450">
            <w:pPr>
              <w:wordWrap w:val="0"/>
              <w:jc w:val="center"/>
              <w:rPr>
                <w:color w:val="000000"/>
                <w:szCs w:val="21"/>
              </w:rPr>
            </w:pPr>
            <w:r>
              <w:rPr>
                <w:color w:val="000000"/>
                <w:szCs w:val="21"/>
              </w:rPr>
              <w:t>30KW</w:t>
            </w:r>
          </w:p>
        </w:tc>
        <w:tc>
          <w:tcPr>
            <w:tcW w:w="522" w:type="pct"/>
            <w:vAlign w:val="center"/>
          </w:tcPr>
          <w:p w14:paraId="0C8E7036">
            <w:pPr>
              <w:wordWrap w:val="0"/>
              <w:jc w:val="center"/>
              <w:rPr>
                <w:color w:val="000000"/>
                <w:szCs w:val="21"/>
              </w:rPr>
            </w:pPr>
            <w:r>
              <w:rPr>
                <w:color w:val="000000"/>
                <w:szCs w:val="21"/>
              </w:rPr>
              <w:t>常温</w:t>
            </w:r>
          </w:p>
        </w:tc>
        <w:tc>
          <w:tcPr>
            <w:tcW w:w="579" w:type="pct"/>
            <w:vAlign w:val="center"/>
          </w:tcPr>
          <w:p w14:paraId="5A8D025E">
            <w:pPr>
              <w:wordWrap w:val="0"/>
              <w:jc w:val="center"/>
              <w:rPr>
                <w:color w:val="000000"/>
                <w:szCs w:val="21"/>
              </w:rPr>
            </w:pPr>
            <w:r>
              <w:rPr>
                <w:color w:val="000000"/>
                <w:szCs w:val="21"/>
              </w:rPr>
              <w:t>常压</w:t>
            </w:r>
          </w:p>
        </w:tc>
        <w:tc>
          <w:tcPr>
            <w:tcW w:w="843" w:type="pct"/>
            <w:vAlign w:val="center"/>
          </w:tcPr>
          <w:p w14:paraId="717CF75E">
            <w:pPr>
              <w:wordWrap w:val="0"/>
              <w:jc w:val="center"/>
              <w:rPr>
                <w:color w:val="000000"/>
                <w:szCs w:val="21"/>
              </w:rPr>
            </w:pPr>
            <w:r>
              <w:rPr>
                <w:color w:val="000000"/>
                <w:szCs w:val="21"/>
              </w:rPr>
              <w:t>旺田路26号</w:t>
            </w:r>
          </w:p>
        </w:tc>
      </w:tr>
      <w:tr w14:paraId="3290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restart"/>
            <w:vAlign w:val="center"/>
          </w:tcPr>
          <w:p w14:paraId="7764D92C">
            <w:pPr>
              <w:widowControl/>
              <w:wordWrap w:val="0"/>
              <w:jc w:val="center"/>
              <w:rPr>
                <w:color w:val="000000"/>
                <w:kern w:val="0"/>
                <w:szCs w:val="21"/>
              </w:rPr>
            </w:pPr>
            <w:r>
              <w:rPr>
                <w:color w:val="000000"/>
                <w:kern w:val="0"/>
                <w:szCs w:val="21"/>
              </w:rPr>
              <w:t>辅助设备</w:t>
            </w:r>
          </w:p>
        </w:tc>
        <w:tc>
          <w:tcPr>
            <w:tcW w:w="328" w:type="pct"/>
            <w:vAlign w:val="center"/>
          </w:tcPr>
          <w:p w14:paraId="57717A33">
            <w:pPr>
              <w:widowControl/>
              <w:wordWrap w:val="0"/>
              <w:jc w:val="center"/>
              <w:rPr>
                <w:color w:val="000000"/>
                <w:kern w:val="0"/>
                <w:szCs w:val="21"/>
              </w:rPr>
            </w:pPr>
            <w:r>
              <w:rPr>
                <w:color w:val="000000"/>
                <w:kern w:val="0"/>
                <w:szCs w:val="21"/>
              </w:rPr>
              <w:t>1</w:t>
            </w:r>
          </w:p>
        </w:tc>
        <w:tc>
          <w:tcPr>
            <w:tcW w:w="1285" w:type="pct"/>
            <w:vAlign w:val="center"/>
          </w:tcPr>
          <w:p w14:paraId="525AEF25">
            <w:pPr>
              <w:wordWrap w:val="0"/>
              <w:jc w:val="center"/>
              <w:rPr>
                <w:color w:val="000000"/>
                <w:szCs w:val="21"/>
              </w:rPr>
            </w:pPr>
            <w:r>
              <w:rPr>
                <w:color w:val="000000"/>
                <w:szCs w:val="21"/>
              </w:rPr>
              <w:t>螺杆输送机</w:t>
            </w:r>
          </w:p>
        </w:tc>
        <w:tc>
          <w:tcPr>
            <w:tcW w:w="807" w:type="pct"/>
            <w:vAlign w:val="center"/>
          </w:tcPr>
          <w:p w14:paraId="283E5D14">
            <w:pPr>
              <w:wordWrap w:val="0"/>
              <w:jc w:val="center"/>
              <w:rPr>
                <w:color w:val="000000"/>
                <w:szCs w:val="21"/>
              </w:rPr>
            </w:pPr>
            <w:r>
              <w:rPr>
                <w:color w:val="000000"/>
                <w:szCs w:val="21"/>
              </w:rPr>
              <w:t>2.2KW</w:t>
            </w:r>
          </w:p>
        </w:tc>
        <w:tc>
          <w:tcPr>
            <w:tcW w:w="522" w:type="pct"/>
            <w:vAlign w:val="center"/>
          </w:tcPr>
          <w:p w14:paraId="0672B8DD">
            <w:pPr>
              <w:wordWrap w:val="0"/>
              <w:jc w:val="center"/>
              <w:rPr>
                <w:color w:val="000000"/>
                <w:szCs w:val="21"/>
              </w:rPr>
            </w:pPr>
            <w:r>
              <w:rPr>
                <w:color w:val="000000"/>
                <w:szCs w:val="21"/>
              </w:rPr>
              <w:t>常温</w:t>
            </w:r>
          </w:p>
        </w:tc>
        <w:tc>
          <w:tcPr>
            <w:tcW w:w="579" w:type="pct"/>
            <w:vAlign w:val="center"/>
          </w:tcPr>
          <w:p w14:paraId="18BB90BF">
            <w:pPr>
              <w:wordWrap w:val="0"/>
              <w:jc w:val="center"/>
              <w:rPr>
                <w:color w:val="000000"/>
                <w:szCs w:val="21"/>
              </w:rPr>
            </w:pPr>
            <w:r>
              <w:rPr>
                <w:color w:val="000000"/>
                <w:szCs w:val="21"/>
              </w:rPr>
              <w:t>常压</w:t>
            </w:r>
          </w:p>
        </w:tc>
        <w:tc>
          <w:tcPr>
            <w:tcW w:w="843" w:type="pct"/>
            <w:vAlign w:val="center"/>
          </w:tcPr>
          <w:p w14:paraId="4C8F668A">
            <w:pPr>
              <w:wordWrap w:val="0"/>
              <w:jc w:val="center"/>
              <w:rPr>
                <w:color w:val="000000"/>
                <w:szCs w:val="21"/>
              </w:rPr>
            </w:pPr>
            <w:r>
              <w:rPr>
                <w:color w:val="000000"/>
                <w:szCs w:val="21"/>
              </w:rPr>
              <w:t>旺田路26号</w:t>
            </w:r>
          </w:p>
        </w:tc>
      </w:tr>
      <w:tr w14:paraId="30CB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continue"/>
            <w:vAlign w:val="center"/>
          </w:tcPr>
          <w:p w14:paraId="40B82850">
            <w:pPr>
              <w:widowControl/>
              <w:wordWrap w:val="0"/>
              <w:jc w:val="center"/>
              <w:rPr>
                <w:color w:val="000000"/>
                <w:kern w:val="0"/>
                <w:szCs w:val="21"/>
              </w:rPr>
            </w:pPr>
          </w:p>
        </w:tc>
        <w:tc>
          <w:tcPr>
            <w:tcW w:w="328" w:type="pct"/>
            <w:vAlign w:val="center"/>
          </w:tcPr>
          <w:p w14:paraId="059D0098">
            <w:pPr>
              <w:widowControl/>
              <w:wordWrap w:val="0"/>
              <w:jc w:val="center"/>
              <w:rPr>
                <w:color w:val="000000"/>
                <w:kern w:val="0"/>
                <w:szCs w:val="21"/>
              </w:rPr>
            </w:pPr>
            <w:r>
              <w:rPr>
                <w:color w:val="000000"/>
                <w:kern w:val="0"/>
                <w:szCs w:val="21"/>
              </w:rPr>
              <w:t>2</w:t>
            </w:r>
          </w:p>
        </w:tc>
        <w:tc>
          <w:tcPr>
            <w:tcW w:w="1285" w:type="pct"/>
            <w:vAlign w:val="center"/>
          </w:tcPr>
          <w:p w14:paraId="03000FE1">
            <w:pPr>
              <w:wordWrap w:val="0"/>
              <w:jc w:val="center"/>
              <w:rPr>
                <w:color w:val="000000"/>
                <w:szCs w:val="21"/>
              </w:rPr>
            </w:pPr>
            <w:r>
              <w:rPr>
                <w:color w:val="000000"/>
                <w:szCs w:val="21"/>
              </w:rPr>
              <w:t>冷却系统</w:t>
            </w:r>
          </w:p>
        </w:tc>
        <w:tc>
          <w:tcPr>
            <w:tcW w:w="807" w:type="pct"/>
            <w:vAlign w:val="center"/>
          </w:tcPr>
          <w:p w14:paraId="749D5E05">
            <w:pPr>
              <w:wordWrap w:val="0"/>
              <w:jc w:val="center"/>
              <w:rPr>
                <w:color w:val="000000"/>
                <w:szCs w:val="21"/>
              </w:rPr>
            </w:pPr>
            <w:r>
              <w:rPr>
                <w:color w:val="000000"/>
                <w:szCs w:val="21"/>
              </w:rPr>
              <w:t>1.1KW</w:t>
            </w:r>
          </w:p>
        </w:tc>
        <w:tc>
          <w:tcPr>
            <w:tcW w:w="522" w:type="pct"/>
            <w:vAlign w:val="center"/>
          </w:tcPr>
          <w:p w14:paraId="4FF55AE8">
            <w:pPr>
              <w:wordWrap w:val="0"/>
              <w:jc w:val="center"/>
              <w:rPr>
                <w:color w:val="000000"/>
                <w:szCs w:val="21"/>
              </w:rPr>
            </w:pPr>
            <w:r>
              <w:rPr>
                <w:color w:val="000000"/>
                <w:szCs w:val="21"/>
              </w:rPr>
              <w:t>常温</w:t>
            </w:r>
          </w:p>
        </w:tc>
        <w:tc>
          <w:tcPr>
            <w:tcW w:w="579" w:type="pct"/>
            <w:vAlign w:val="center"/>
          </w:tcPr>
          <w:p w14:paraId="75AB0641">
            <w:pPr>
              <w:wordWrap w:val="0"/>
              <w:jc w:val="center"/>
              <w:rPr>
                <w:color w:val="000000"/>
                <w:szCs w:val="21"/>
              </w:rPr>
            </w:pPr>
            <w:r>
              <w:rPr>
                <w:color w:val="000000"/>
                <w:szCs w:val="21"/>
              </w:rPr>
              <w:t>常压</w:t>
            </w:r>
          </w:p>
        </w:tc>
        <w:tc>
          <w:tcPr>
            <w:tcW w:w="843" w:type="pct"/>
            <w:vAlign w:val="center"/>
          </w:tcPr>
          <w:p w14:paraId="3F41A69B">
            <w:pPr>
              <w:wordWrap w:val="0"/>
              <w:jc w:val="center"/>
              <w:rPr>
                <w:color w:val="000000"/>
                <w:szCs w:val="21"/>
              </w:rPr>
            </w:pPr>
            <w:r>
              <w:rPr>
                <w:color w:val="000000"/>
                <w:szCs w:val="21"/>
              </w:rPr>
              <w:t>旺田路26号</w:t>
            </w:r>
          </w:p>
        </w:tc>
      </w:tr>
      <w:tr w14:paraId="3CB4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continue"/>
            <w:vAlign w:val="center"/>
          </w:tcPr>
          <w:p w14:paraId="062DF7DA">
            <w:pPr>
              <w:widowControl/>
              <w:wordWrap w:val="0"/>
              <w:jc w:val="center"/>
              <w:rPr>
                <w:color w:val="000000"/>
                <w:kern w:val="0"/>
                <w:szCs w:val="21"/>
              </w:rPr>
            </w:pPr>
          </w:p>
        </w:tc>
        <w:tc>
          <w:tcPr>
            <w:tcW w:w="328" w:type="pct"/>
            <w:vAlign w:val="center"/>
          </w:tcPr>
          <w:p w14:paraId="2EC65219">
            <w:pPr>
              <w:widowControl/>
              <w:wordWrap w:val="0"/>
              <w:jc w:val="center"/>
              <w:rPr>
                <w:color w:val="000000"/>
                <w:kern w:val="0"/>
                <w:szCs w:val="21"/>
              </w:rPr>
            </w:pPr>
            <w:r>
              <w:rPr>
                <w:color w:val="000000"/>
                <w:kern w:val="0"/>
                <w:szCs w:val="21"/>
              </w:rPr>
              <w:t>3</w:t>
            </w:r>
          </w:p>
        </w:tc>
        <w:tc>
          <w:tcPr>
            <w:tcW w:w="1285" w:type="pct"/>
            <w:vAlign w:val="center"/>
          </w:tcPr>
          <w:p w14:paraId="0ED07A66">
            <w:pPr>
              <w:wordWrap w:val="0"/>
              <w:jc w:val="center"/>
              <w:rPr>
                <w:color w:val="000000"/>
                <w:szCs w:val="21"/>
              </w:rPr>
            </w:pPr>
            <w:r>
              <w:rPr>
                <w:color w:val="000000"/>
                <w:szCs w:val="21"/>
              </w:rPr>
              <w:t>总控制柜</w:t>
            </w:r>
          </w:p>
        </w:tc>
        <w:tc>
          <w:tcPr>
            <w:tcW w:w="807" w:type="pct"/>
            <w:vAlign w:val="center"/>
          </w:tcPr>
          <w:p w14:paraId="5233AD45">
            <w:pPr>
              <w:wordWrap w:val="0"/>
              <w:jc w:val="center"/>
              <w:rPr>
                <w:color w:val="000000"/>
                <w:szCs w:val="21"/>
              </w:rPr>
            </w:pPr>
            <w:r>
              <w:rPr>
                <w:color w:val="000000"/>
                <w:szCs w:val="21"/>
              </w:rPr>
              <w:t>/</w:t>
            </w:r>
          </w:p>
        </w:tc>
        <w:tc>
          <w:tcPr>
            <w:tcW w:w="522" w:type="pct"/>
            <w:vAlign w:val="center"/>
          </w:tcPr>
          <w:p w14:paraId="7B99005B">
            <w:pPr>
              <w:wordWrap w:val="0"/>
              <w:jc w:val="center"/>
              <w:rPr>
                <w:color w:val="000000"/>
                <w:szCs w:val="21"/>
              </w:rPr>
            </w:pPr>
            <w:r>
              <w:rPr>
                <w:color w:val="000000"/>
                <w:szCs w:val="21"/>
              </w:rPr>
              <w:t>常温</w:t>
            </w:r>
          </w:p>
        </w:tc>
        <w:tc>
          <w:tcPr>
            <w:tcW w:w="579" w:type="pct"/>
            <w:vAlign w:val="center"/>
          </w:tcPr>
          <w:p w14:paraId="5372FF2B">
            <w:pPr>
              <w:wordWrap w:val="0"/>
              <w:jc w:val="center"/>
              <w:rPr>
                <w:color w:val="000000"/>
                <w:szCs w:val="21"/>
              </w:rPr>
            </w:pPr>
            <w:r>
              <w:rPr>
                <w:color w:val="000000"/>
                <w:szCs w:val="21"/>
              </w:rPr>
              <w:t>常压</w:t>
            </w:r>
          </w:p>
        </w:tc>
        <w:tc>
          <w:tcPr>
            <w:tcW w:w="843" w:type="pct"/>
            <w:vAlign w:val="center"/>
          </w:tcPr>
          <w:p w14:paraId="536E03B9">
            <w:pPr>
              <w:wordWrap w:val="0"/>
              <w:jc w:val="center"/>
              <w:rPr>
                <w:color w:val="000000"/>
                <w:szCs w:val="21"/>
              </w:rPr>
            </w:pPr>
            <w:r>
              <w:rPr>
                <w:color w:val="000000"/>
                <w:szCs w:val="21"/>
              </w:rPr>
              <w:t>旺田路26号</w:t>
            </w:r>
          </w:p>
        </w:tc>
      </w:tr>
      <w:tr w14:paraId="1F86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continue"/>
            <w:vAlign w:val="center"/>
          </w:tcPr>
          <w:p w14:paraId="43CFFBD6">
            <w:pPr>
              <w:widowControl/>
              <w:wordWrap w:val="0"/>
              <w:jc w:val="center"/>
              <w:rPr>
                <w:color w:val="000000"/>
                <w:kern w:val="0"/>
                <w:szCs w:val="21"/>
              </w:rPr>
            </w:pPr>
          </w:p>
        </w:tc>
        <w:tc>
          <w:tcPr>
            <w:tcW w:w="328" w:type="pct"/>
            <w:vAlign w:val="center"/>
          </w:tcPr>
          <w:p w14:paraId="7B5EE699">
            <w:pPr>
              <w:widowControl/>
              <w:wordWrap w:val="0"/>
              <w:jc w:val="center"/>
              <w:rPr>
                <w:color w:val="000000"/>
                <w:kern w:val="0"/>
                <w:szCs w:val="21"/>
              </w:rPr>
            </w:pPr>
            <w:r>
              <w:rPr>
                <w:color w:val="000000"/>
                <w:kern w:val="0"/>
                <w:szCs w:val="21"/>
              </w:rPr>
              <w:t>4</w:t>
            </w:r>
          </w:p>
        </w:tc>
        <w:tc>
          <w:tcPr>
            <w:tcW w:w="1285" w:type="pct"/>
            <w:vAlign w:val="center"/>
          </w:tcPr>
          <w:p w14:paraId="4F3BE7D4">
            <w:pPr>
              <w:wordWrap w:val="0"/>
              <w:jc w:val="center"/>
              <w:rPr>
                <w:color w:val="000000"/>
                <w:szCs w:val="21"/>
              </w:rPr>
            </w:pPr>
            <w:r>
              <w:rPr>
                <w:color w:val="000000"/>
                <w:szCs w:val="21"/>
              </w:rPr>
              <w:t>辅助控制柜</w:t>
            </w:r>
          </w:p>
        </w:tc>
        <w:tc>
          <w:tcPr>
            <w:tcW w:w="807" w:type="pct"/>
            <w:vAlign w:val="center"/>
          </w:tcPr>
          <w:p w14:paraId="61CE8AA8">
            <w:pPr>
              <w:wordWrap w:val="0"/>
              <w:jc w:val="center"/>
              <w:rPr>
                <w:color w:val="000000"/>
                <w:szCs w:val="21"/>
              </w:rPr>
            </w:pPr>
            <w:r>
              <w:rPr>
                <w:color w:val="000000"/>
                <w:szCs w:val="21"/>
              </w:rPr>
              <w:t>/</w:t>
            </w:r>
          </w:p>
        </w:tc>
        <w:tc>
          <w:tcPr>
            <w:tcW w:w="522" w:type="pct"/>
            <w:vAlign w:val="center"/>
          </w:tcPr>
          <w:p w14:paraId="5EDD58AF">
            <w:pPr>
              <w:wordWrap w:val="0"/>
              <w:jc w:val="center"/>
              <w:rPr>
                <w:color w:val="000000"/>
                <w:szCs w:val="21"/>
              </w:rPr>
            </w:pPr>
            <w:r>
              <w:rPr>
                <w:color w:val="000000"/>
                <w:szCs w:val="21"/>
              </w:rPr>
              <w:t>常温</w:t>
            </w:r>
          </w:p>
        </w:tc>
        <w:tc>
          <w:tcPr>
            <w:tcW w:w="579" w:type="pct"/>
            <w:vAlign w:val="center"/>
          </w:tcPr>
          <w:p w14:paraId="063B1BC4">
            <w:pPr>
              <w:wordWrap w:val="0"/>
              <w:jc w:val="center"/>
              <w:rPr>
                <w:color w:val="000000"/>
                <w:szCs w:val="21"/>
              </w:rPr>
            </w:pPr>
            <w:r>
              <w:rPr>
                <w:color w:val="000000"/>
                <w:szCs w:val="21"/>
              </w:rPr>
              <w:t>常压</w:t>
            </w:r>
          </w:p>
        </w:tc>
        <w:tc>
          <w:tcPr>
            <w:tcW w:w="843" w:type="pct"/>
            <w:vAlign w:val="center"/>
          </w:tcPr>
          <w:p w14:paraId="533DA23F">
            <w:pPr>
              <w:wordWrap w:val="0"/>
              <w:jc w:val="center"/>
              <w:rPr>
                <w:color w:val="000000"/>
                <w:szCs w:val="21"/>
              </w:rPr>
            </w:pPr>
            <w:r>
              <w:rPr>
                <w:color w:val="000000"/>
                <w:szCs w:val="21"/>
              </w:rPr>
              <w:t>旺田路26号</w:t>
            </w:r>
          </w:p>
        </w:tc>
      </w:tr>
      <w:tr w14:paraId="2D2C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continue"/>
            <w:vAlign w:val="center"/>
          </w:tcPr>
          <w:p w14:paraId="2547322B">
            <w:pPr>
              <w:widowControl/>
              <w:wordWrap w:val="0"/>
              <w:jc w:val="center"/>
              <w:rPr>
                <w:color w:val="000000"/>
                <w:kern w:val="0"/>
                <w:szCs w:val="21"/>
              </w:rPr>
            </w:pPr>
          </w:p>
        </w:tc>
        <w:tc>
          <w:tcPr>
            <w:tcW w:w="328" w:type="pct"/>
            <w:vAlign w:val="center"/>
          </w:tcPr>
          <w:p w14:paraId="7E8D8607">
            <w:pPr>
              <w:widowControl/>
              <w:wordWrap w:val="0"/>
              <w:jc w:val="center"/>
              <w:rPr>
                <w:color w:val="000000"/>
                <w:kern w:val="0"/>
                <w:szCs w:val="21"/>
              </w:rPr>
            </w:pPr>
            <w:r>
              <w:rPr>
                <w:color w:val="000000"/>
                <w:kern w:val="0"/>
                <w:szCs w:val="21"/>
              </w:rPr>
              <w:t>5</w:t>
            </w:r>
          </w:p>
        </w:tc>
        <w:tc>
          <w:tcPr>
            <w:tcW w:w="1285" w:type="pct"/>
            <w:vAlign w:val="center"/>
          </w:tcPr>
          <w:p w14:paraId="0D383A09">
            <w:pPr>
              <w:wordWrap w:val="0"/>
              <w:jc w:val="center"/>
              <w:rPr>
                <w:color w:val="000000"/>
                <w:szCs w:val="21"/>
              </w:rPr>
            </w:pPr>
            <w:r>
              <w:rPr>
                <w:color w:val="000000"/>
                <w:szCs w:val="21"/>
              </w:rPr>
              <w:t>冷凝器</w:t>
            </w:r>
          </w:p>
        </w:tc>
        <w:tc>
          <w:tcPr>
            <w:tcW w:w="807" w:type="pct"/>
            <w:vAlign w:val="center"/>
          </w:tcPr>
          <w:p w14:paraId="7400228B">
            <w:pPr>
              <w:wordWrap w:val="0"/>
              <w:jc w:val="center"/>
              <w:rPr>
                <w:color w:val="000000"/>
                <w:szCs w:val="21"/>
              </w:rPr>
            </w:pPr>
            <w:r>
              <w:rPr>
                <w:color w:val="000000"/>
                <w:szCs w:val="21"/>
              </w:rPr>
              <w:t>/</w:t>
            </w:r>
          </w:p>
        </w:tc>
        <w:tc>
          <w:tcPr>
            <w:tcW w:w="522" w:type="pct"/>
            <w:vAlign w:val="center"/>
          </w:tcPr>
          <w:p w14:paraId="5A361F85">
            <w:pPr>
              <w:wordWrap w:val="0"/>
              <w:jc w:val="center"/>
              <w:rPr>
                <w:color w:val="000000"/>
                <w:szCs w:val="21"/>
              </w:rPr>
            </w:pPr>
            <w:r>
              <w:rPr>
                <w:color w:val="000000"/>
                <w:szCs w:val="21"/>
              </w:rPr>
              <w:t>常温</w:t>
            </w:r>
          </w:p>
        </w:tc>
        <w:tc>
          <w:tcPr>
            <w:tcW w:w="579" w:type="pct"/>
            <w:vAlign w:val="center"/>
          </w:tcPr>
          <w:p w14:paraId="4B0154AC">
            <w:pPr>
              <w:wordWrap w:val="0"/>
              <w:jc w:val="center"/>
              <w:rPr>
                <w:color w:val="000000"/>
                <w:szCs w:val="21"/>
              </w:rPr>
            </w:pPr>
            <w:r>
              <w:rPr>
                <w:color w:val="000000"/>
                <w:szCs w:val="21"/>
              </w:rPr>
              <w:t>常压</w:t>
            </w:r>
          </w:p>
        </w:tc>
        <w:tc>
          <w:tcPr>
            <w:tcW w:w="843" w:type="pct"/>
            <w:vAlign w:val="center"/>
          </w:tcPr>
          <w:p w14:paraId="02C0BABC">
            <w:pPr>
              <w:wordWrap w:val="0"/>
              <w:jc w:val="center"/>
              <w:rPr>
                <w:color w:val="000000"/>
                <w:szCs w:val="21"/>
              </w:rPr>
            </w:pPr>
            <w:r>
              <w:rPr>
                <w:color w:val="000000"/>
                <w:szCs w:val="21"/>
              </w:rPr>
              <w:t>旺田路26号</w:t>
            </w:r>
          </w:p>
        </w:tc>
      </w:tr>
      <w:tr w14:paraId="6D59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continue"/>
            <w:vAlign w:val="center"/>
          </w:tcPr>
          <w:p w14:paraId="4F0484A8">
            <w:pPr>
              <w:widowControl/>
              <w:wordWrap w:val="0"/>
              <w:jc w:val="center"/>
              <w:rPr>
                <w:color w:val="000000"/>
                <w:kern w:val="0"/>
                <w:szCs w:val="21"/>
              </w:rPr>
            </w:pPr>
          </w:p>
        </w:tc>
        <w:tc>
          <w:tcPr>
            <w:tcW w:w="328" w:type="pct"/>
            <w:vAlign w:val="center"/>
          </w:tcPr>
          <w:p w14:paraId="1E626751">
            <w:pPr>
              <w:widowControl/>
              <w:wordWrap w:val="0"/>
              <w:jc w:val="center"/>
              <w:rPr>
                <w:color w:val="000000"/>
                <w:kern w:val="0"/>
                <w:szCs w:val="21"/>
              </w:rPr>
            </w:pPr>
            <w:r>
              <w:rPr>
                <w:color w:val="000000"/>
                <w:kern w:val="0"/>
                <w:szCs w:val="21"/>
              </w:rPr>
              <w:t>6</w:t>
            </w:r>
          </w:p>
        </w:tc>
        <w:tc>
          <w:tcPr>
            <w:tcW w:w="1285" w:type="pct"/>
            <w:vAlign w:val="center"/>
          </w:tcPr>
          <w:p w14:paraId="1DD41205">
            <w:pPr>
              <w:wordWrap w:val="0"/>
              <w:jc w:val="center"/>
              <w:rPr>
                <w:color w:val="000000"/>
                <w:szCs w:val="21"/>
              </w:rPr>
            </w:pPr>
            <w:r>
              <w:rPr>
                <w:color w:val="000000"/>
                <w:szCs w:val="21"/>
              </w:rPr>
              <w:t>冷却塔</w:t>
            </w:r>
          </w:p>
        </w:tc>
        <w:tc>
          <w:tcPr>
            <w:tcW w:w="807" w:type="pct"/>
            <w:vAlign w:val="center"/>
          </w:tcPr>
          <w:p w14:paraId="2C332C13">
            <w:pPr>
              <w:wordWrap w:val="0"/>
              <w:jc w:val="center"/>
              <w:rPr>
                <w:color w:val="000000"/>
                <w:szCs w:val="21"/>
              </w:rPr>
            </w:pPr>
            <w:r>
              <w:rPr>
                <w:color w:val="000000"/>
                <w:szCs w:val="21"/>
              </w:rPr>
              <w:t>100T</w:t>
            </w:r>
          </w:p>
        </w:tc>
        <w:tc>
          <w:tcPr>
            <w:tcW w:w="522" w:type="pct"/>
            <w:vAlign w:val="center"/>
          </w:tcPr>
          <w:p w14:paraId="5DDC9E93">
            <w:pPr>
              <w:wordWrap w:val="0"/>
              <w:jc w:val="center"/>
              <w:rPr>
                <w:color w:val="000000"/>
                <w:szCs w:val="21"/>
              </w:rPr>
            </w:pPr>
            <w:r>
              <w:rPr>
                <w:color w:val="000000"/>
                <w:szCs w:val="21"/>
              </w:rPr>
              <w:t>常温</w:t>
            </w:r>
          </w:p>
        </w:tc>
        <w:tc>
          <w:tcPr>
            <w:tcW w:w="579" w:type="pct"/>
            <w:vAlign w:val="center"/>
          </w:tcPr>
          <w:p w14:paraId="12C3C5D4">
            <w:pPr>
              <w:wordWrap w:val="0"/>
              <w:jc w:val="center"/>
              <w:rPr>
                <w:color w:val="000000"/>
                <w:szCs w:val="21"/>
              </w:rPr>
            </w:pPr>
            <w:r>
              <w:rPr>
                <w:color w:val="000000"/>
                <w:szCs w:val="21"/>
              </w:rPr>
              <w:t>常压</w:t>
            </w:r>
          </w:p>
        </w:tc>
        <w:tc>
          <w:tcPr>
            <w:tcW w:w="843" w:type="pct"/>
            <w:vAlign w:val="center"/>
          </w:tcPr>
          <w:p w14:paraId="7527D8BE">
            <w:pPr>
              <w:wordWrap w:val="0"/>
              <w:jc w:val="center"/>
              <w:rPr>
                <w:color w:val="000000"/>
                <w:szCs w:val="21"/>
              </w:rPr>
            </w:pPr>
            <w:r>
              <w:rPr>
                <w:color w:val="000000"/>
                <w:szCs w:val="21"/>
              </w:rPr>
              <w:t>旺田路26号</w:t>
            </w:r>
          </w:p>
        </w:tc>
      </w:tr>
      <w:tr w14:paraId="7C7A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continue"/>
            <w:vAlign w:val="center"/>
          </w:tcPr>
          <w:p w14:paraId="21DD2AB3">
            <w:pPr>
              <w:widowControl/>
              <w:wordWrap w:val="0"/>
              <w:jc w:val="center"/>
              <w:rPr>
                <w:color w:val="000000"/>
                <w:kern w:val="0"/>
                <w:szCs w:val="21"/>
              </w:rPr>
            </w:pPr>
          </w:p>
        </w:tc>
        <w:tc>
          <w:tcPr>
            <w:tcW w:w="328" w:type="pct"/>
            <w:vAlign w:val="center"/>
          </w:tcPr>
          <w:p w14:paraId="20F71E90">
            <w:pPr>
              <w:widowControl/>
              <w:wordWrap w:val="0"/>
              <w:jc w:val="center"/>
              <w:rPr>
                <w:color w:val="000000"/>
                <w:kern w:val="0"/>
                <w:szCs w:val="21"/>
              </w:rPr>
            </w:pPr>
            <w:r>
              <w:rPr>
                <w:color w:val="000000"/>
                <w:kern w:val="0"/>
                <w:szCs w:val="21"/>
              </w:rPr>
              <w:t>7</w:t>
            </w:r>
          </w:p>
        </w:tc>
        <w:tc>
          <w:tcPr>
            <w:tcW w:w="1285" w:type="pct"/>
            <w:vAlign w:val="center"/>
          </w:tcPr>
          <w:p w14:paraId="153F772E">
            <w:pPr>
              <w:wordWrap w:val="0"/>
              <w:jc w:val="center"/>
              <w:rPr>
                <w:color w:val="000000"/>
                <w:szCs w:val="21"/>
              </w:rPr>
            </w:pPr>
            <w:r>
              <w:rPr>
                <w:color w:val="000000"/>
                <w:szCs w:val="21"/>
              </w:rPr>
              <w:t>旋风除尘器</w:t>
            </w:r>
          </w:p>
        </w:tc>
        <w:tc>
          <w:tcPr>
            <w:tcW w:w="807" w:type="pct"/>
            <w:vAlign w:val="center"/>
          </w:tcPr>
          <w:p w14:paraId="676EA06E">
            <w:pPr>
              <w:wordWrap w:val="0"/>
              <w:jc w:val="center"/>
              <w:rPr>
                <w:color w:val="000000"/>
                <w:szCs w:val="21"/>
              </w:rPr>
            </w:pPr>
            <w:r>
              <w:rPr>
                <w:color w:val="000000"/>
                <w:szCs w:val="21"/>
              </w:rPr>
              <w:t>/</w:t>
            </w:r>
          </w:p>
        </w:tc>
        <w:tc>
          <w:tcPr>
            <w:tcW w:w="522" w:type="pct"/>
            <w:vAlign w:val="center"/>
          </w:tcPr>
          <w:p w14:paraId="1C7FBB9B">
            <w:pPr>
              <w:wordWrap w:val="0"/>
              <w:jc w:val="center"/>
              <w:rPr>
                <w:color w:val="000000"/>
                <w:szCs w:val="21"/>
              </w:rPr>
            </w:pPr>
            <w:r>
              <w:rPr>
                <w:color w:val="000000"/>
                <w:szCs w:val="21"/>
              </w:rPr>
              <w:t>常温</w:t>
            </w:r>
          </w:p>
        </w:tc>
        <w:tc>
          <w:tcPr>
            <w:tcW w:w="579" w:type="pct"/>
            <w:vAlign w:val="center"/>
          </w:tcPr>
          <w:p w14:paraId="2F03AD15">
            <w:pPr>
              <w:wordWrap w:val="0"/>
              <w:jc w:val="center"/>
              <w:rPr>
                <w:color w:val="000000"/>
                <w:szCs w:val="21"/>
              </w:rPr>
            </w:pPr>
            <w:r>
              <w:rPr>
                <w:color w:val="000000"/>
                <w:szCs w:val="21"/>
              </w:rPr>
              <w:t>常压</w:t>
            </w:r>
          </w:p>
        </w:tc>
        <w:tc>
          <w:tcPr>
            <w:tcW w:w="843" w:type="pct"/>
            <w:vAlign w:val="center"/>
          </w:tcPr>
          <w:p w14:paraId="3B73BF77">
            <w:pPr>
              <w:wordWrap w:val="0"/>
              <w:jc w:val="center"/>
              <w:rPr>
                <w:color w:val="000000"/>
                <w:szCs w:val="21"/>
              </w:rPr>
            </w:pPr>
            <w:r>
              <w:rPr>
                <w:color w:val="000000"/>
                <w:szCs w:val="21"/>
              </w:rPr>
              <w:t>旺田路26号</w:t>
            </w:r>
          </w:p>
        </w:tc>
      </w:tr>
      <w:tr w14:paraId="3DDE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34" w:type="pct"/>
            <w:vMerge w:val="continue"/>
            <w:vAlign w:val="center"/>
          </w:tcPr>
          <w:p w14:paraId="3FB5F1F5">
            <w:pPr>
              <w:widowControl/>
              <w:wordWrap w:val="0"/>
              <w:jc w:val="center"/>
              <w:rPr>
                <w:color w:val="000000"/>
                <w:kern w:val="0"/>
                <w:szCs w:val="21"/>
              </w:rPr>
            </w:pPr>
          </w:p>
        </w:tc>
        <w:tc>
          <w:tcPr>
            <w:tcW w:w="328" w:type="pct"/>
            <w:vAlign w:val="center"/>
          </w:tcPr>
          <w:p w14:paraId="5834106E">
            <w:pPr>
              <w:widowControl/>
              <w:wordWrap w:val="0"/>
              <w:jc w:val="center"/>
              <w:rPr>
                <w:color w:val="000000"/>
                <w:kern w:val="0"/>
                <w:szCs w:val="21"/>
              </w:rPr>
            </w:pPr>
            <w:r>
              <w:rPr>
                <w:color w:val="000000"/>
                <w:kern w:val="0"/>
                <w:szCs w:val="21"/>
              </w:rPr>
              <w:t>8</w:t>
            </w:r>
          </w:p>
        </w:tc>
        <w:tc>
          <w:tcPr>
            <w:tcW w:w="1285" w:type="pct"/>
            <w:vAlign w:val="center"/>
          </w:tcPr>
          <w:p w14:paraId="2C63DE47">
            <w:pPr>
              <w:wordWrap w:val="0"/>
              <w:jc w:val="center"/>
              <w:rPr>
                <w:color w:val="000000"/>
                <w:szCs w:val="21"/>
              </w:rPr>
            </w:pPr>
            <w:r>
              <w:rPr>
                <w:color w:val="000000"/>
                <w:szCs w:val="21"/>
              </w:rPr>
              <w:t>脉冲布袋除尘器</w:t>
            </w:r>
          </w:p>
        </w:tc>
        <w:tc>
          <w:tcPr>
            <w:tcW w:w="807" w:type="pct"/>
            <w:vAlign w:val="center"/>
          </w:tcPr>
          <w:p w14:paraId="26D3C171">
            <w:pPr>
              <w:wordWrap w:val="0"/>
              <w:jc w:val="center"/>
              <w:rPr>
                <w:color w:val="000000"/>
                <w:szCs w:val="21"/>
              </w:rPr>
            </w:pPr>
            <w:r>
              <w:rPr>
                <w:color w:val="000000"/>
                <w:szCs w:val="21"/>
              </w:rPr>
              <w:t>/</w:t>
            </w:r>
          </w:p>
        </w:tc>
        <w:tc>
          <w:tcPr>
            <w:tcW w:w="522" w:type="pct"/>
            <w:vAlign w:val="center"/>
          </w:tcPr>
          <w:p w14:paraId="6F82D8AE">
            <w:pPr>
              <w:wordWrap w:val="0"/>
              <w:jc w:val="center"/>
              <w:rPr>
                <w:color w:val="000000"/>
                <w:szCs w:val="21"/>
              </w:rPr>
            </w:pPr>
            <w:r>
              <w:rPr>
                <w:color w:val="000000"/>
                <w:szCs w:val="21"/>
              </w:rPr>
              <w:t>常温</w:t>
            </w:r>
          </w:p>
        </w:tc>
        <w:tc>
          <w:tcPr>
            <w:tcW w:w="579" w:type="pct"/>
            <w:vAlign w:val="center"/>
          </w:tcPr>
          <w:p w14:paraId="6D6DD321">
            <w:pPr>
              <w:wordWrap w:val="0"/>
              <w:jc w:val="center"/>
              <w:rPr>
                <w:color w:val="000000"/>
                <w:szCs w:val="21"/>
              </w:rPr>
            </w:pPr>
            <w:r>
              <w:rPr>
                <w:color w:val="000000"/>
                <w:szCs w:val="21"/>
              </w:rPr>
              <w:t>常压</w:t>
            </w:r>
          </w:p>
        </w:tc>
        <w:tc>
          <w:tcPr>
            <w:tcW w:w="843" w:type="pct"/>
            <w:vAlign w:val="center"/>
          </w:tcPr>
          <w:p w14:paraId="0C69E1CA">
            <w:pPr>
              <w:wordWrap w:val="0"/>
              <w:jc w:val="center"/>
              <w:rPr>
                <w:color w:val="000000"/>
                <w:szCs w:val="21"/>
              </w:rPr>
            </w:pPr>
            <w:r>
              <w:rPr>
                <w:color w:val="000000"/>
                <w:szCs w:val="21"/>
              </w:rPr>
              <w:t>旺田路26号</w:t>
            </w:r>
          </w:p>
        </w:tc>
      </w:tr>
      <w:bookmarkEnd w:id="15"/>
    </w:tbl>
    <w:p w14:paraId="173AFADA">
      <w:pPr>
        <w:pStyle w:val="2"/>
        <w:spacing w:before="0" w:after="0"/>
        <w:rPr>
          <w:sz w:val="32"/>
          <w:szCs w:val="32"/>
        </w:rPr>
      </w:pPr>
      <w:bookmarkStart w:id="16" w:name="_Toc6593"/>
      <w:r>
        <w:rPr>
          <w:sz w:val="32"/>
          <w:szCs w:val="32"/>
        </w:rPr>
        <w:t>1.3废物的包装、收集</w:t>
      </w:r>
      <w:bookmarkEnd w:id="13"/>
      <w:bookmarkEnd w:id="14"/>
      <w:bookmarkEnd w:id="16"/>
    </w:p>
    <w:p w14:paraId="6B0CBA9B">
      <w:pPr>
        <w:pStyle w:val="3"/>
        <w:spacing w:before="0" w:after="0"/>
        <w:rPr>
          <w:rFonts w:ascii="Times New Roman" w:hAnsi="Times New Roman" w:eastAsia="宋体"/>
          <w:sz w:val="30"/>
          <w:szCs w:val="30"/>
        </w:rPr>
      </w:pPr>
      <w:bookmarkStart w:id="17" w:name="_Toc29314"/>
      <w:r>
        <w:rPr>
          <w:rFonts w:ascii="Times New Roman" w:hAnsi="Times New Roman" w:eastAsia="宋体"/>
          <w:sz w:val="30"/>
          <w:szCs w:val="30"/>
        </w:rPr>
        <w:t>1.3.1废物包装形式</w:t>
      </w:r>
      <w:bookmarkEnd w:id="17"/>
    </w:p>
    <w:p w14:paraId="77E56A04">
      <w:pPr>
        <w:spacing w:line="500" w:lineRule="exact"/>
        <w:ind w:firstLine="480" w:firstLineChars="200"/>
        <w:rPr>
          <w:kern w:val="0"/>
          <w:sz w:val="24"/>
          <w:szCs w:val="24"/>
        </w:rPr>
      </w:pPr>
      <w:r>
        <w:rPr>
          <w:kern w:val="0"/>
          <w:sz w:val="24"/>
          <w:szCs w:val="24"/>
        </w:rPr>
        <w:t>对危险废物，采用吨袋、吨桶等进行包装，设施清单如下表：</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10"/>
        <w:gridCol w:w="1992"/>
        <w:gridCol w:w="2657"/>
        <w:gridCol w:w="2491"/>
        <w:gridCol w:w="1838"/>
      </w:tblGrid>
      <w:tr w14:paraId="7B2E0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06" w:type="pct"/>
            <w:vAlign w:val="center"/>
          </w:tcPr>
          <w:p w14:paraId="69C625D3">
            <w:pPr>
              <w:jc w:val="center"/>
              <w:rPr>
                <w:b/>
                <w:bCs/>
                <w:sz w:val="22"/>
                <w:szCs w:val="21"/>
              </w:rPr>
            </w:pPr>
            <w:r>
              <w:rPr>
                <w:b/>
                <w:bCs/>
                <w:sz w:val="22"/>
                <w:szCs w:val="21"/>
              </w:rPr>
              <w:t>序号</w:t>
            </w:r>
          </w:p>
        </w:tc>
        <w:tc>
          <w:tcPr>
            <w:tcW w:w="997" w:type="pct"/>
            <w:vAlign w:val="center"/>
          </w:tcPr>
          <w:p w14:paraId="475CADA6">
            <w:pPr>
              <w:jc w:val="center"/>
              <w:rPr>
                <w:b/>
                <w:bCs/>
                <w:sz w:val="22"/>
                <w:szCs w:val="21"/>
              </w:rPr>
            </w:pPr>
            <w:r>
              <w:rPr>
                <w:b/>
                <w:bCs/>
                <w:sz w:val="22"/>
                <w:szCs w:val="21"/>
              </w:rPr>
              <w:t>包装物名称</w:t>
            </w:r>
          </w:p>
        </w:tc>
        <w:tc>
          <w:tcPr>
            <w:tcW w:w="1330" w:type="pct"/>
            <w:vAlign w:val="center"/>
          </w:tcPr>
          <w:p w14:paraId="0E041DD9">
            <w:pPr>
              <w:jc w:val="center"/>
              <w:rPr>
                <w:b/>
                <w:bCs/>
                <w:sz w:val="22"/>
                <w:szCs w:val="21"/>
              </w:rPr>
            </w:pPr>
            <w:r>
              <w:rPr>
                <w:b/>
                <w:bCs/>
                <w:sz w:val="22"/>
                <w:szCs w:val="21"/>
              </w:rPr>
              <w:t>规格</w:t>
            </w:r>
          </w:p>
        </w:tc>
        <w:tc>
          <w:tcPr>
            <w:tcW w:w="1247" w:type="pct"/>
            <w:vAlign w:val="center"/>
          </w:tcPr>
          <w:p w14:paraId="26E84EB3">
            <w:pPr>
              <w:jc w:val="center"/>
              <w:rPr>
                <w:b/>
                <w:bCs/>
                <w:sz w:val="22"/>
                <w:szCs w:val="21"/>
              </w:rPr>
            </w:pPr>
            <w:r>
              <w:rPr>
                <w:b/>
                <w:bCs/>
                <w:sz w:val="22"/>
                <w:szCs w:val="21"/>
              </w:rPr>
              <w:t>材质</w:t>
            </w:r>
          </w:p>
        </w:tc>
        <w:tc>
          <w:tcPr>
            <w:tcW w:w="920" w:type="pct"/>
            <w:vAlign w:val="center"/>
          </w:tcPr>
          <w:p w14:paraId="3DD1A879">
            <w:pPr>
              <w:jc w:val="center"/>
              <w:rPr>
                <w:b/>
                <w:bCs/>
                <w:sz w:val="22"/>
                <w:szCs w:val="21"/>
              </w:rPr>
            </w:pPr>
            <w:r>
              <w:rPr>
                <w:b/>
                <w:bCs/>
                <w:sz w:val="22"/>
                <w:szCs w:val="21"/>
              </w:rPr>
              <w:t>包装废物</w:t>
            </w:r>
          </w:p>
        </w:tc>
      </w:tr>
      <w:tr w14:paraId="43111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06" w:type="pct"/>
            <w:vAlign w:val="center"/>
          </w:tcPr>
          <w:p w14:paraId="4F6CC4BD">
            <w:pPr>
              <w:jc w:val="center"/>
              <w:rPr>
                <w:sz w:val="22"/>
                <w:szCs w:val="21"/>
              </w:rPr>
            </w:pPr>
            <w:r>
              <w:rPr>
                <w:sz w:val="22"/>
                <w:szCs w:val="21"/>
              </w:rPr>
              <w:t>1</w:t>
            </w:r>
          </w:p>
        </w:tc>
        <w:tc>
          <w:tcPr>
            <w:tcW w:w="997" w:type="pct"/>
            <w:vAlign w:val="center"/>
          </w:tcPr>
          <w:p w14:paraId="241A6309">
            <w:pPr>
              <w:jc w:val="center"/>
              <w:rPr>
                <w:sz w:val="22"/>
                <w:szCs w:val="21"/>
              </w:rPr>
            </w:pPr>
            <w:r>
              <w:rPr>
                <w:sz w:val="22"/>
                <w:szCs w:val="21"/>
              </w:rPr>
              <w:t>吨袋</w:t>
            </w:r>
          </w:p>
        </w:tc>
        <w:tc>
          <w:tcPr>
            <w:tcW w:w="1330" w:type="pct"/>
            <w:vAlign w:val="center"/>
          </w:tcPr>
          <w:p w14:paraId="5DE1331F">
            <w:pPr>
              <w:jc w:val="center"/>
              <w:rPr>
                <w:sz w:val="22"/>
                <w:szCs w:val="21"/>
              </w:rPr>
            </w:pPr>
            <w:r>
              <w:rPr>
                <w:sz w:val="22"/>
                <w:szCs w:val="21"/>
              </w:rPr>
              <w:t>1000 kg</w:t>
            </w:r>
          </w:p>
        </w:tc>
        <w:tc>
          <w:tcPr>
            <w:tcW w:w="1247" w:type="pct"/>
            <w:vAlign w:val="center"/>
          </w:tcPr>
          <w:p w14:paraId="72869080">
            <w:pPr>
              <w:jc w:val="center"/>
              <w:rPr>
                <w:sz w:val="22"/>
                <w:szCs w:val="21"/>
              </w:rPr>
            </w:pPr>
            <w:r>
              <w:rPr>
                <w:sz w:val="22"/>
                <w:szCs w:val="21"/>
              </w:rPr>
              <w:t>聚丙烯（PP）</w:t>
            </w:r>
          </w:p>
        </w:tc>
        <w:tc>
          <w:tcPr>
            <w:tcW w:w="920" w:type="pct"/>
            <w:vAlign w:val="center"/>
          </w:tcPr>
          <w:p w14:paraId="21EA5CD5">
            <w:pPr>
              <w:jc w:val="center"/>
              <w:rPr>
                <w:sz w:val="22"/>
                <w:szCs w:val="21"/>
              </w:rPr>
            </w:pPr>
            <w:r>
              <w:rPr>
                <w:sz w:val="22"/>
                <w:szCs w:val="21"/>
              </w:rPr>
              <w:t>危险废物</w:t>
            </w:r>
          </w:p>
        </w:tc>
      </w:tr>
      <w:tr w14:paraId="0CCA7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06" w:type="pct"/>
            <w:vAlign w:val="center"/>
          </w:tcPr>
          <w:p w14:paraId="1DF0A1A1">
            <w:pPr>
              <w:jc w:val="center"/>
              <w:rPr>
                <w:sz w:val="22"/>
                <w:szCs w:val="21"/>
              </w:rPr>
            </w:pPr>
            <w:r>
              <w:rPr>
                <w:sz w:val="22"/>
                <w:szCs w:val="21"/>
              </w:rPr>
              <w:t>2</w:t>
            </w:r>
          </w:p>
        </w:tc>
        <w:tc>
          <w:tcPr>
            <w:tcW w:w="997" w:type="pct"/>
            <w:vAlign w:val="center"/>
          </w:tcPr>
          <w:p w14:paraId="79CF476F">
            <w:pPr>
              <w:jc w:val="center"/>
              <w:rPr>
                <w:sz w:val="22"/>
                <w:szCs w:val="21"/>
              </w:rPr>
            </w:pPr>
            <w:r>
              <w:rPr>
                <w:sz w:val="22"/>
                <w:szCs w:val="21"/>
              </w:rPr>
              <w:t>吨桶</w:t>
            </w:r>
          </w:p>
        </w:tc>
        <w:tc>
          <w:tcPr>
            <w:tcW w:w="1330" w:type="pct"/>
            <w:vAlign w:val="center"/>
          </w:tcPr>
          <w:p w14:paraId="73074C10">
            <w:pPr>
              <w:jc w:val="center"/>
              <w:rPr>
                <w:sz w:val="22"/>
                <w:szCs w:val="21"/>
              </w:rPr>
            </w:pPr>
            <w:r>
              <w:rPr>
                <w:sz w:val="22"/>
                <w:szCs w:val="21"/>
              </w:rPr>
              <w:t>1200*1200*1400 mm</w:t>
            </w:r>
          </w:p>
        </w:tc>
        <w:tc>
          <w:tcPr>
            <w:tcW w:w="1247" w:type="pct"/>
            <w:vAlign w:val="center"/>
          </w:tcPr>
          <w:p w14:paraId="3145CE7C">
            <w:pPr>
              <w:jc w:val="center"/>
              <w:rPr>
                <w:sz w:val="22"/>
                <w:szCs w:val="21"/>
              </w:rPr>
            </w:pPr>
            <w:r>
              <w:rPr>
                <w:sz w:val="22"/>
                <w:szCs w:val="21"/>
              </w:rPr>
              <w:t>铝合金、塑料</w:t>
            </w:r>
          </w:p>
        </w:tc>
        <w:tc>
          <w:tcPr>
            <w:tcW w:w="920" w:type="pct"/>
            <w:vAlign w:val="center"/>
          </w:tcPr>
          <w:p w14:paraId="75C1C39B">
            <w:pPr>
              <w:jc w:val="center"/>
              <w:rPr>
                <w:sz w:val="22"/>
                <w:szCs w:val="21"/>
              </w:rPr>
            </w:pPr>
            <w:r>
              <w:rPr>
                <w:sz w:val="22"/>
                <w:szCs w:val="21"/>
              </w:rPr>
              <w:t>危险废物</w:t>
            </w:r>
          </w:p>
        </w:tc>
      </w:tr>
    </w:tbl>
    <w:p w14:paraId="511A6CB0">
      <w:pPr>
        <w:pStyle w:val="3"/>
        <w:spacing w:before="0" w:after="0" w:line="500" w:lineRule="exact"/>
        <w:rPr>
          <w:rFonts w:ascii="Times New Roman" w:hAnsi="Times New Roman" w:eastAsia="宋体"/>
          <w:sz w:val="30"/>
          <w:szCs w:val="30"/>
        </w:rPr>
      </w:pPr>
      <w:bookmarkStart w:id="18" w:name="_Toc27548"/>
      <w:r>
        <w:rPr>
          <w:rFonts w:ascii="Times New Roman" w:hAnsi="Times New Roman" w:eastAsia="宋体"/>
          <w:sz w:val="30"/>
          <w:szCs w:val="30"/>
        </w:rPr>
        <w:t>1.3.2包装容器数量</w:t>
      </w:r>
      <w:bookmarkEnd w:id="18"/>
    </w:p>
    <w:p w14:paraId="06987EB1">
      <w:pPr>
        <w:spacing w:line="500" w:lineRule="exact"/>
        <w:ind w:firstLine="480" w:firstLineChars="200"/>
        <w:rPr>
          <w:kern w:val="0"/>
          <w:sz w:val="24"/>
          <w:szCs w:val="24"/>
        </w:rPr>
      </w:pPr>
      <w:r>
        <w:rPr>
          <w:kern w:val="0"/>
          <w:sz w:val="24"/>
          <w:szCs w:val="24"/>
        </w:rPr>
        <w:t>吨袋：8000个，吨桶50个。</w:t>
      </w:r>
    </w:p>
    <w:p w14:paraId="1AB40D7E">
      <w:pPr>
        <w:pStyle w:val="3"/>
        <w:spacing w:after="0"/>
        <w:rPr>
          <w:rFonts w:ascii="Times New Roman" w:hAnsi="Times New Roman" w:eastAsia="宋体"/>
          <w:sz w:val="28"/>
          <w:szCs w:val="28"/>
        </w:rPr>
      </w:pPr>
      <w:bookmarkStart w:id="19" w:name="_Toc4779"/>
      <w:r>
        <w:rPr>
          <w:rFonts w:ascii="Times New Roman" w:hAnsi="Times New Roman" w:eastAsia="宋体"/>
          <w:sz w:val="28"/>
          <w:szCs w:val="28"/>
        </w:rPr>
        <w:t>1.3.3废物收集工具、设施</w:t>
      </w:r>
      <w:bookmarkEnd w:id="19"/>
    </w:p>
    <w:p w14:paraId="25B237C0">
      <w:pPr>
        <w:spacing w:line="500" w:lineRule="exact"/>
        <w:ind w:firstLine="480" w:firstLineChars="200"/>
        <w:rPr>
          <w:kern w:val="0"/>
          <w:sz w:val="24"/>
          <w:szCs w:val="24"/>
        </w:rPr>
      </w:pPr>
      <w:r>
        <w:rPr>
          <w:kern w:val="0"/>
          <w:sz w:val="24"/>
          <w:szCs w:val="24"/>
        </w:rPr>
        <w:t>公司与专业运输单位合作，上门收取废物。危险废物以吨袋、吨桶装为主。</w:t>
      </w:r>
    </w:p>
    <w:p w14:paraId="2C8C39EA">
      <w:pPr>
        <w:pStyle w:val="2"/>
        <w:spacing w:before="0" w:after="0" w:line="500" w:lineRule="exact"/>
        <w:rPr>
          <w:sz w:val="32"/>
          <w:szCs w:val="32"/>
        </w:rPr>
      </w:pPr>
      <w:bookmarkStart w:id="20" w:name="_Toc20764"/>
      <w:bookmarkStart w:id="21" w:name="_Toc491185133"/>
      <w:bookmarkStart w:id="22" w:name="_Toc491184961"/>
      <w:r>
        <w:rPr>
          <w:sz w:val="32"/>
          <w:szCs w:val="32"/>
        </w:rPr>
        <w:t>1.4废物的运输</w:t>
      </w:r>
      <w:bookmarkEnd w:id="20"/>
      <w:bookmarkEnd w:id="21"/>
      <w:bookmarkEnd w:id="22"/>
    </w:p>
    <w:p w14:paraId="7E107CA5">
      <w:pPr>
        <w:pStyle w:val="3"/>
        <w:spacing w:before="0" w:after="0" w:line="500" w:lineRule="exact"/>
        <w:rPr>
          <w:rFonts w:ascii="Times New Roman" w:hAnsi="Times New Roman" w:eastAsia="宋体"/>
          <w:sz w:val="30"/>
          <w:szCs w:val="30"/>
        </w:rPr>
      </w:pPr>
      <w:bookmarkStart w:id="23" w:name="_Toc31452"/>
      <w:r>
        <w:rPr>
          <w:rFonts w:ascii="Times New Roman" w:hAnsi="Times New Roman" w:eastAsia="宋体"/>
          <w:sz w:val="30"/>
          <w:szCs w:val="30"/>
        </w:rPr>
        <w:t>1.4.1废物运输方式</w:t>
      </w:r>
      <w:bookmarkEnd w:id="23"/>
    </w:p>
    <w:p w14:paraId="31B6169B">
      <w:pPr>
        <w:spacing w:line="500" w:lineRule="exact"/>
        <w:ind w:firstLine="480" w:firstLineChars="200"/>
        <w:rPr>
          <w:sz w:val="24"/>
          <w:szCs w:val="22"/>
        </w:rPr>
      </w:pPr>
      <w:r>
        <w:rPr>
          <w:sz w:val="24"/>
          <w:szCs w:val="22"/>
        </w:rPr>
        <w:t>本项目的危险废物原料、辅材及产品等均采用汽车运输。</w:t>
      </w:r>
    </w:p>
    <w:p w14:paraId="11091D21">
      <w:pPr>
        <w:pStyle w:val="3"/>
        <w:spacing w:before="0" w:after="0" w:line="500" w:lineRule="exact"/>
        <w:rPr>
          <w:rFonts w:ascii="Times New Roman" w:hAnsi="Times New Roman" w:eastAsia="宋体"/>
          <w:sz w:val="30"/>
          <w:szCs w:val="30"/>
        </w:rPr>
      </w:pPr>
      <w:bookmarkStart w:id="24" w:name="_Toc3732"/>
      <w:r>
        <w:rPr>
          <w:rFonts w:ascii="Times New Roman" w:hAnsi="Times New Roman" w:eastAsia="宋体"/>
          <w:sz w:val="30"/>
          <w:szCs w:val="30"/>
        </w:rPr>
        <w:t>1.4.2现有运输工具数量和资质（或租用运输工具的来源、数量、资质）</w:t>
      </w:r>
      <w:bookmarkEnd w:id="24"/>
    </w:p>
    <w:p w14:paraId="4CFC0FB1">
      <w:pPr>
        <w:spacing w:line="500" w:lineRule="exact"/>
        <w:ind w:firstLine="480" w:firstLineChars="200"/>
        <w:rPr>
          <w:kern w:val="0"/>
          <w:sz w:val="24"/>
          <w:szCs w:val="24"/>
        </w:rPr>
      </w:pPr>
      <w:r>
        <w:rPr>
          <w:kern w:val="0"/>
          <w:sz w:val="24"/>
          <w:szCs w:val="24"/>
        </w:rPr>
        <w:t>公司与</w:t>
      </w:r>
      <w:r>
        <w:rPr>
          <w:sz w:val="24"/>
          <w:szCs w:val="24"/>
        </w:rPr>
        <w:t>常州市达达象联运有限公司签订货物运输合同</w:t>
      </w:r>
      <w:r>
        <w:rPr>
          <w:kern w:val="0"/>
          <w:sz w:val="24"/>
          <w:szCs w:val="24"/>
        </w:rPr>
        <w:t>，</w:t>
      </w:r>
      <w:r>
        <w:rPr>
          <w:sz w:val="24"/>
          <w:szCs w:val="24"/>
        </w:rPr>
        <w:t>其具有危险废物运输资质，拥有各种类型危险品运输车辆 30 辆。</w:t>
      </w:r>
    </w:p>
    <w:p w14:paraId="2AED8DEF">
      <w:pPr>
        <w:pStyle w:val="3"/>
        <w:spacing w:before="0" w:after="0" w:line="500" w:lineRule="exact"/>
        <w:rPr>
          <w:rFonts w:ascii="Times New Roman" w:hAnsi="Times New Roman" w:eastAsia="宋体"/>
          <w:sz w:val="30"/>
          <w:szCs w:val="30"/>
        </w:rPr>
      </w:pPr>
      <w:bookmarkStart w:id="25" w:name="_Toc8177"/>
      <w:r>
        <w:rPr>
          <w:rFonts w:ascii="Times New Roman" w:hAnsi="Times New Roman" w:eastAsia="宋体"/>
          <w:sz w:val="30"/>
          <w:szCs w:val="30"/>
        </w:rPr>
        <w:t>1.4.3废物运输时的应急方案和工具</w:t>
      </w:r>
      <w:bookmarkEnd w:id="25"/>
    </w:p>
    <w:p w14:paraId="472D61BD">
      <w:pPr>
        <w:spacing w:line="500" w:lineRule="exact"/>
        <w:ind w:firstLine="480" w:firstLineChars="200"/>
        <w:rPr>
          <w:kern w:val="0"/>
          <w:sz w:val="24"/>
          <w:szCs w:val="24"/>
        </w:rPr>
      </w:pPr>
      <w:r>
        <w:rPr>
          <w:kern w:val="0"/>
          <w:sz w:val="24"/>
          <w:szCs w:val="24"/>
        </w:rPr>
        <w:t>我公司以及常州市达达象联运有限公司均建立各自的紧急事故应急系统，制定了相关的应急预案，在废物运输过程中一旦发生紧急事故，立即启动应急预案，进行事故应急处理。</w:t>
      </w:r>
    </w:p>
    <w:p w14:paraId="5A25A075">
      <w:pPr>
        <w:spacing w:line="500" w:lineRule="exact"/>
        <w:ind w:firstLine="480" w:firstLineChars="200"/>
        <w:rPr>
          <w:kern w:val="0"/>
          <w:sz w:val="24"/>
          <w:szCs w:val="24"/>
        </w:rPr>
      </w:pPr>
      <w:r>
        <w:rPr>
          <w:kern w:val="0"/>
          <w:sz w:val="24"/>
          <w:szCs w:val="24"/>
        </w:rPr>
        <w:t>若在运输途中发生事故，依照公路管理相关制度及时处理。</w:t>
      </w:r>
    </w:p>
    <w:p w14:paraId="4A2A2412">
      <w:pPr>
        <w:pStyle w:val="2"/>
        <w:spacing w:before="0" w:after="0" w:line="500" w:lineRule="exact"/>
        <w:rPr>
          <w:sz w:val="32"/>
          <w:szCs w:val="32"/>
        </w:rPr>
      </w:pPr>
      <w:bookmarkStart w:id="26" w:name="_Toc491184962"/>
      <w:bookmarkStart w:id="27" w:name="_Toc18430"/>
      <w:bookmarkStart w:id="28" w:name="_Toc491185134"/>
      <w:r>
        <w:rPr>
          <w:sz w:val="32"/>
          <w:szCs w:val="32"/>
        </w:rPr>
        <w:t>1.5废物的贮存/暂存</w:t>
      </w:r>
      <w:bookmarkEnd w:id="26"/>
      <w:bookmarkEnd w:id="27"/>
      <w:bookmarkEnd w:id="28"/>
    </w:p>
    <w:p w14:paraId="2DE74079">
      <w:pPr>
        <w:pStyle w:val="3"/>
        <w:spacing w:before="0" w:after="0" w:line="500" w:lineRule="exact"/>
        <w:rPr>
          <w:rFonts w:ascii="Times New Roman" w:hAnsi="Times New Roman" w:eastAsia="宋体"/>
          <w:sz w:val="30"/>
          <w:szCs w:val="30"/>
        </w:rPr>
      </w:pPr>
      <w:bookmarkStart w:id="29" w:name="_Toc13920"/>
      <w:r>
        <w:rPr>
          <w:rFonts w:ascii="Times New Roman" w:hAnsi="Times New Roman" w:eastAsia="宋体"/>
          <w:sz w:val="30"/>
          <w:szCs w:val="30"/>
        </w:rPr>
        <w:t>1.5.1废物贮存/暂存方式</w:t>
      </w:r>
      <w:bookmarkEnd w:id="29"/>
    </w:p>
    <w:p w14:paraId="3C0FBFF5">
      <w:pPr>
        <w:spacing w:line="500" w:lineRule="exact"/>
        <w:ind w:firstLine="480" w:firstLineChars="200"/>
        <w:rPr>
          <w:kern w:val="0"/>
          <w:sz w:val="24"/>
          <w:szCs w:val="24"/>
        </w:rPr>
      </w:pPr>
      <w:r>
        <w:rPr>
          <w:kern w:val="0"/>
          <w:sz w:val="24"/>
          <w:szCs w:val="24"/>
        </w:rPr>
        <w:t>设置500m</w:t>
      </w:r>
      <w:r>
        <w:rPr>
          <w:kern w:val="0"/>
          <w:sz w:val="24"/>
          <w:szCs w:val="24"/>
          <w:vertAlign w:val="superscript"/>
        </w:rPr>
        <w:t>2</w:t>
      </w:r>
      <w:r>
        <w:rPr>
          <w:kern w:val="0"/>
          <w:sz w:val="24"/>
          <w:szCs w:val="24"/>
        </w:rPr>
        <w:t>的原料危废仓库、350m</w:t>
      </w:r>
      <w:r>
        <w:rPr>
          <w:kern w:val="0"/>
          <w:sz w:val="24"/>
          <w:szCs w:val="24"/>
          <w:vertAlign w:val="superscript"/>
        </w:rPr>
        <w:t>2</w:t>
      </w:r>
      <w:r>
        <w:rPr>
          <w:kern w:val="0"/>
          <w:sz w:val="24"/>
          <w:szCs w:val="24"/>
        </w:rPr>
        <w:t>的含铜污泥烘干料堆场及50m</w:t>
      </w:r>
      <w:r>
        <w:rPr>
          <w:kern w:val="0"/>
          <w:sz w:val="24"/>
          <w:szCs w:val="24"/>
          <w:vertAlign w:val="superscript"/>
        </w:rPr>
        <w:t>2</w:t>
      </w:r>
      <w:r>
        <w:rPr>
          <w:kern w:val="0"/>
          <w:sz w:val="24"/>
          <w:szCs w:val="24"/>
        </w:rPr>
        <w:t>次生危废库，</w:t>
      </w:r>
      <w:r>
        <w:rPr>
          <w:sz w:val="24"/>
          <w:szCs w:val="24"/>
        </w:rPr>
        <w:t>各类危险废物分区域存放，张贴规范化危险废物标识标志。</w:t>
      </w:r>
    </w:p>
    <w:p w14:paraId="239DA0C2">
      <w:pPr>
        <w:pStyle w:val="3"/>
        <w:spacing w:before="0" w:after="0" w:line="500" w:lineRule="exact"/>
        <w:rPr>
          <w:rFonts w:ascii="Times New Roman" w:hAnsi="Times New Roman" w:eastAsia="宋体"/>
          <w:sz w:val="30"/>
          <w:szCs w:val="30"/>
        </w:rPr>
      </w:pPr>
      <w:bookmarkStart w:id="30" w:name="_Toc1738"/>
      <w:r>
        <w:rPr>
          <w:rFonts w:ascii="Times New Roman" w:hAnsi="Times New Roman" w:eastAsia="宋体"/>
          <w:sz w:val="30"/>
          <w:szCs w:val="30"/>
        </w:rPr>
        <w:t>1.5.2废物贮存场所情况简述</w:t>
      </w:r>
      <w:bookmarkEnd w:id="30"/>
    </w:p>
    <w:p w14:paraId="22436FA5">
      <w:pPr>
        <w:spacing w:line="500" w:lineRule="exact"/>
        <w:ind w:firstLine="480" w:firstLineChars="200"/>
        <w:rPr>
          <w:kern w:val="0"/>
          <w:sz w:val="24"/>
          <w:szCs w:val="24"/>
        </w:rPr>
      </w:pPr>
      <w:r>
        <w:rPr>
          <w:kern w:val="0"/>
          <w:sz w:val="24"/>
          <w:szCs w:val="24"/>
        </w:rPr>
        <w:t>危险废物临时贮存场所设置在仓库内。危险废物存储室采用防渗、防漏水泥铺砌地面，并铺设环氧地坪。</w:t>
      </w:r>
    </w:p>
    <w:p w14:paraId="5E6D6EAC">
      <w:pPr>
        <w:pStyle w:val="2"/>
        <w:spacing w:before="0" w:after="0" w:line="500" w:lineRule="exact"/>
        <w:rPr>
          <w:sz w:val="32"/>
          <w:szCs w:val="32"/>
        </w:rPr>
      </w:pPr>
      <w:bookmarkStart w:id="31" w:name="_Toc491185135"/>
      <w:bookmarkStart w:id="32" w:name="_Toc491184963"/>
      <w:bookmarkStart w:id="33" w:name="_Toc5447"/>
      <w:r>
        <w:rPr>
          <w:sz w:val="32"/>
          <w:szCs w:val="32"/>
        </w:rPr>
        <w:t>1.6废物的处置工艺及流程简述</w:t>
      </w:r>
      <w:bookmarkEnd w:id="31"/>
      <w:bookmarkEnd w:id="32"/>
      <w:bookmarkEnd w:id="33"/>
    </w:p>
    <w:p w14:paraId="725F4F4B">
      <w:pPr>
        <w:pStyle w:val="3"/>
        <w:spacing w:before="0" w:after="0" w:line="500" w:lineRule="exact"/>
        <w:rPr>
          <w:rFonts w:ascii="Times New Roman" w:hAnsi="Times New Roman" w:eastAsia="宋体"/>
        </w:rPr>
      </w:pPr>
      <w:bookmarkStart w:id="34" w:name="_Toc13138"/>
      <w:r>
        <w:rPr>
          <w:rFonts w:ascii="Times New Roman" w:hAnsi="Times New Roman" w:eastAsia="宋体"/>
        </w:rPr>
        <w:t>1.6.1减量化处理技术和生产工艺简介</w:t>
      </w:r>
      <w:bookmarkEnd w:id="34"/>
    </w:p>
    <w:p w14:paraId="0D58A03E">
      <w:pPr>
        <w:spacing w:line="500" w:lineRule="exact"/>
        <w:ind w:firstLine="480" w:firstLineChars="200"/>
        <w:rPr>
          <w:sz w:val="24"/>
          <w:szCs w:val="24"/>
        </w:rPr>
      </w:pPr>
      <w:r>
        <w:rPr>
          <w:sz w:val="24"/>
          <w:szCs w:val="24"/>
        </w:rPr>
        <w:t>我公司仅对含铜污泥进行减量化烘干处理，不涉及含铜污泥的最终处置利用。具体工艺流程如下所示：</w:t>
      </w:r>
    </w:p>
    <w:p w14:paraId="1918801F">
      <w:pPr>
        <w:pStyle w:val="6"/>
        <w:rPr>
          <w:rFonts w:ascii="Times New Roman"/>
          <w:szCs w:val="24"/>
        </w:rPr>
      </w:pPr>
    </w:p>
    <w:p w14:paraId="66F5D6D2">
      <w:pPr>
        <w:pStyle w:val="6"/>
        <w:rPr>
          <w:rFonts w:ascii="Times New Roman"/>
          <w:szCs w:val="24"/>
        </w:rPr>
      </w:pPr>
    </w:p>
    <w:p w14:paraId="5BC7083D">
      <w:pPr>
        <w:pStyle w:val="6"/>
        <w:rPr>
          <w:rFonts w:ascii="Times New Roman"/>
          <w:szCs w:val="24"/>
        </w:rPr>
      </w:pPr>
    </w:p>
    <w:p w14:paraId="142B41CB">
      <w:pPr>
        <w:rPr>
          <w:sz w:val="24"/>
          <w:szCs w:val="24"/>
        </w:rPr>
      </w:pPr>
    </w:p>
    <w:p w14:paraId="7A4BF95F">
      <w:pPr>
        <w:rPr>
          <w:sz w:val="24"/>
          <w:szCs w:val="24"/>
        </w:rPr>
      </w:pPr>
    </w:p>
    <w:p w14:paraId="303F353D">
      <w:pPr>
        <w:rPr>
          <w:sz w:val="24"/>
          <w:szCs w:val="24"/>
        </w:rPr>
      </w:pPr>
    </w:p>
    <w:p w14:paraId="2E5E02CD">
      <w:pPr>
        <w:pStyle w:val="6"/>
        <w:rPr>
          <w:rFonts w:ascii="Times New Roman"/>
          <w:szCs w:val="24"/>
        </w:rPr>
      </w:pPr>
    </w:p>
    <w:p w14:paraId="3C895B70">
      <w:pPr>
        <w:pStyle w:val="6"/>
        <w:rPr>
          <w:rFonts w:ascii="Times New Roman"/>
          <w:szCs w:val="24"/>
        </w:rPr>
      </w:pPr>
    </w:p>
    <w:p w14:paraId="08F9B401">
      <w:pPr>
        <w:pStyle w:val="6"/>
        <w:rPr>
          <w:rFonts w:ascii="Times New Roman"/>
          <w:szCs w:val="24"/>
        </w:rPr>
      </w:pPr>
    </w:p>
    <w:p w14:paraId="5253F148">
      <w:pPr>
        <w:pStyle w:val="6"/>
        <w:rPr>
          <w:rFonts w:ascii="Times New Roman"/>
          <w:szCs w:val="24"/>
        </w:rPr>
      </w:pPr>
    </w:p>
    <w:p w14:paraId="466A7EDF">
      <w:pPr>
        <w:pStyle w:val="6"/>
        <w:rPr>
          <w:rFonts w:ascii="Times New Roman"/>
          <w:szCs w:val="24"/>
        </w:rPr>
      </w:pPr>
    </w:p>
    <w:p w14:paraId="1273E5A6">
      <w:pPr>
        <w:spacing w:line="500" w:lineRule="exact"/>
        <w:rPr>
          <w:b/>
          <w:sz w:val="24"/>
        </w:rPr>
      </w:pPr>
      <w:r>
        <w:rPr>
          <w:b/>
          <w:bCs/>
          <w:sz w:val="24"/>
          <w:szCs w:val="24"/>
        </w:rPr>
        <w:pict>
          <v:shape id="_x0000_s1036" o:spid="_x0000_s1036" o:spt="75" type="#_x0000_t75" style="position:absolute;left:0pt;margin-left:116.65pt;margin-top:5pt;height:299.95pt;width:275.15pt;z-index:251659264;mso-width-relative:page;mso-height-relative:page;" filled="f" o:preferrelative="t" stroked="f" coordsize="21600,21600">
            <v:path/>
            <v:fill on="f" focussize="0,0"/>
            <v:stroke on="f" joinstyle="miter"/>
            <v:imagedata r:id="rId5" o:title=""/>
            <o:lock v:ext="edit" aspectratio="f"/>
          </v:shape>
        </w:pict>
      </w:r>
    </w:p>
    <w:p w14:paraId="375949DB">
      <w:pPr>
        <w:spacing w:line="500" w:lineRule="exact"/>
        <w:rPr>
          <w:b/>
          <w:sz w:val="24"/>
        </w:rPr>
      </w:pPr>
    </w:p>
    <w:p w14:paraId="746D9D19">
      <w:pPr>
        <w:tabs>
          <w:tab w:val="left" w:pos="2400"/>
        </w:tabs>
        <w:spacing w:line="480" w:lineRule="exact"/>
        <w:rPr>
          <w:b/>
          <w:sz w:val="24"/>
        </w:rPr>
      </w:pPr>
    </w:p>
    <w:p w14:paraId="05C1F312">
      <w:pPr>
        <w:pStyle w:val="6"/>
        <w:rPr>
          <w:rFonts w:ascii="Times New Roman"/>
          <w:b/>
        </w:rPr>
      </w:pPr>
    </w:p>
    <w:p w14:paraId="40640913">
      <w:pPr>
        <w:pStyle w:val="6"/>
        <w:rPr>
          <w:rFonts w:ascii="Times New Roman"/>
          <w:b/>
        </w:rPr>
      </w:pPr>
    </w:p>
    <w:p w14:paraId="0656C757">
      <w:pPr>
        <w:pStyle w:val="6"/>
        <w:rPr>
          <w:rFonts w:ascii="Times New Roman"/>
          <w:b/>
        </w:rPr>
      </w:pPr>
    </w:p>
    <w:p w14:paraId="1C293F4E">
      <w:pPr>
        <w:pStyle w:val="6"/>
        <w:rPr>
          <w:rFonts w:ascii="Times New Roman"/>
          <w:b/>
        </w:rPr>
      </w:pPr>
    </w:p>
    <w:p w14:paraId="1AD84A3A">
      <w:pPr>
        <w:pStyle w:val="6"/>
        <w:rPr>
          <w:rFonts w:ascii="Times New Roman"/>
          <w:b/>
        </w:rPr>
      </w:pPr>
    </w:p>
    <w:p w14:paraId="4349F636">
      <w:pPr>
        <w:pStyle w:val="6"/>
        <w:rPr>
          <w:rFonts w:ascii="Times New Roman"/>
          <w:b/>
        </w:rPr>
      </w:pPr>
    </w:p>
    <w:p w14:paraId="44B1EDC0">
      <w:pPr>
        <w:pStyle w:val="6"/>
        <w:rPr>
          <w:rFonts w:ascii="Times New Roman"/>
          <w:b/>
        </w:rPr>
      </w:pPr>
    </w:p>
    <w:p w14:paraId="516C1818">
      <w:pPr>
        <w:pStyle w:val="6"/>
        <w:rPr>
          <w:rFonts w:ascii="Times New Roman"/>
          <w:b/>
        </w:rPr>
      </w:pPr>
    </w:p>
    <w:p w14:paraId="79AE5EB7">
      <w:pPr>
        <w:pStyle w:val="6"/>
        <w:rPr>
          <w:rFonts w:ascii="Times New Roman"/>
          <w:b/>
        </w:rPr>
      </w:pPr>
    </w:p>
    <w:p w14:paraId="182FAFB7">
      <w:pPr>
        <w:pStyle w:val="6"/>
        <w:rPr>
          <w:rFonts w:ascii="Times New Roman"/>
          <w:b/>
        </w:rPr>
      </w:pPr>
    </w:p>
    <w:p w14:paraId="2A557CEA">
      <w:pPr>
        <w:pStyle w:val="6"/>
        <w:rPr>
          <w:rFonts w:ascii="Times New Roman"/>
          <w:b/>
        </w:rPr>
      </w:pPr>
    </w:p>
    <w:p w14:paraId="47054640">
      <w:pPr>
        <w:pStyle w:val="6"/>
        <w:rPr>
          <w:rFonts w:ascii="Times New Roman"/>
          <w:b/>
        </w:rPr>
      </w:pPr>
    </w:p>
    <w:p w14:paraId="3F238363">
      <w:pPr>
        <w:pStyle w:val="6"/>
        <w:rPr>
          <w:rFonts w:ascii="Times New Roman"/>
          <w:b/>
        </w:rPr>
      </w:pPr>
    </w:p>
    <w:p w14:paraId="140FE601">
      <w:pPr>
        <w:pStyle w:val="6"/>
        <w:rPr>
          <w:rFonts w:ascii="Times New Roman"/>
          <w:b/>
        </w:rPr>
      </w:pPr>
    </w:p>
    <w:p w14:paraId="1B32D87B">
      <w:pPr>
        <w:pStyle w:val="6"/>
        <w:rPr>
          <w:rFonts w:ascii="Times New Roman"/>
          <w:b/>
        </w:rPr>
      </w:pPr>
    </w:p>
    <w:p w14:paraId="4C265A84">
      <w:pPr>
        <w:tabs>
          <w:tab w:val="left" w:pos="2400"/>
        </w:tabs>
        <w:spacing w:line="480" w:lineRule="exact"/>
        <w:jc w:val="center"/>
        <w:rPr>
          <w:b/>
          <w:sz w:val="24"/>
        </w:rPr>
      </w:pPr>
      <w:r>
        <w:rPr>
          <w:b/>
          <w:sz w:val="24"/>
        </w:rPr>
        <w:t>含铜污泥减量化处理工艺流程图</w:t>
      </w:r>
    </w:p>
    <w:p w14:paraId="4CF04D5F">
      <w:pPr>
        <w:tabs>
          <w:tab w:val="left" w:pos="2400"/>
        </w:tabs>
        <w:spacing w:line="500" w:lineRule="exact"/>
        <w:ind w:firstLine="482" w:firstLineChars="200"/>
        <w:rPr>
          <w:sz w:val="24"/>
          <w:szCs w:val="24"/>
        </w:rPr>
      </w:pPr>
      <w:r>
        <w:rPr>
          <w:b/>
          <w:bCs/>
          <w:sz w:val="24"/>
          <w:szCs w:val="24"/>
        </w:rPr>
        <w:t>入厂检测：</w:t>
      </w:r>
      <w:r>
        <w:rPr>
          <w:sz w:val="24"/>
          <w:szCs w:val="24"/>
        </w:rPr>
        <w:t>含铜污泥原料由专用运输车辆运至厂区含铜污泥原料堆场卸货区，卸货前根据原料危废批次情况进行检测，检测含铜污泥中含水率、总铜及其他重金属成分含量，对比本项目设置的指标要求，经检测不合格的原料危废直接返回上游企业，检验合格的原料危废方可入厂进行处理。</w:t>
      </w:r>
    </w:p>
    <w:p w14:paraId="42226ACF">
      <w:pPr>
        <w:tabs>
          <w:tab w:val="left" w:pos="2400"/>
        </w:tabs>
        <w:spacing w:line="500" w:lineRule="exact"/>
        <w:ind w:firstLine="482" w:firstLineChars="200"/>
        <w:rPr>
          <w:b/>
          <w:bCs/>
          <w:sz w:val="24"/>
          <w:szCs w:val="24"/>
        </w:rPr>
      </w:pPr>
      <w:r>
        <w:rPr>
          <w:b/>
          <w:bCs/>
          <w:sz w:val="24"/>
          <w:szCs w:val="24"/>
        </w:rPr>
        <w:t>暂存：</w:t>
      </w:r>
      <w:r>
        <w:rPr>
          <w:sz w:val="24"/>
          <w:szCs w:val="24"/>
        </w:rPr>
        <w:t>原料危废入厂后暂存于厂内含铜污泥原料堆场，含铜污泥于堆场暂存期间，污泥中残留的少量游离态氨挥发产生挥发气（G1：NH</w:t>
      </w:r>
      <w:r>
        <w:rPr>
          <w:sz w:val="24"/>
          <w:szCs w:val="24"/>
          <w:vertAlign w:val="subscript"/>
        </w:rPr>
        <w:t>3</w:t>
      </w:r>
      <w:r>
        <w:rPr>
          <w:sz w:val="24"/>
          <w:szCs w:val="24"/>
        </w:rPr>
        <w:t>）。</w:t>
      </w:r>
    </w:p>
    <w:p w14:paraId="2125B2F7">
      <w:pPr>
        <w:tabs>
          <w:tab w:val="left" w:pos="2400"/>
        </w:tabs>
        <w:spacing w:line="500" w:lineRule="exact"/>
        <w:ind w:firstLine="482" w:firstLineChars="200"/>
        <w:rPr>
          <w:b/>
          <w:bCs/>
          <w:sz w:val="24"/>
          <w:szCs w:val="24"/>
        </w:rPr>
      </w:pPr>
      <w:r>
        <w:rPr>
          <w:b/>
          <w:bCs/>
          <w:sz w:val="24"/>
          <w:szCs w:val="24"/>
        </w:rPr>
        <w:t>上料：</w:t>
      </w:r>
      <w:r>
        <w:rPr>
          <w:sz w:val="24"/>
          <w:szCs w:val="24"/>
        </w:rPr>
        <w:t>人工利用叉车将吨袋包装的污泥驳至漏斗仓正上方，拉开吨袋底部的拉链，吨袋中污泥利用自身重力落入漏斗仓；部分底部无拉链的吨袋则直接将吨袋底部划破后落料，破损的吨袋不再循环使用，此过程产生少量废吨袋（S1）。本项目于上料区地面设置污泥收集槽，上料过程少量散落的污泥可利用该收集槽收集，控制上料过程污泥的“跑、冒、滴、漏”问题，收集槽内收集的污泥定期清理。漏斗仓底部设有螺杆输送机，污泥由输送机及不锈钢传送带匀速送入烘干机内部进行烘干。本项目漏斗仓带有搅拌功能，原料污泥如果有成团状的大块料，可在仓内进行简单搅拌，可以起到破碎缓冲的作用；由于污泥含水率较高，搅拌幅度低，且上料为持续的过程，物料停留时间短，故搅拌工段产生的粉尘及臭气量极少，本次不予量化统计。</w:t>
      </w:r>
    </w:p>
    <w:p w14:paraId="57767B87">
      <w:pPr>
        <w:tabs>
          <w:tab w:val="left" w:pos="2400"/>
        </w:tabs>
        <w:spacing w:line="500" w:lineRule="exact"/>
        <w:ind w:firstLine="482" w:firstLineChars="200"/>
        <w:rPr>
          <w:sz w:val="24"/>
          <w:szCs w:val="24"/>
        </w:rPr>
      </w:pPr>
      <w:r>
        <w:rPr>
          <w:b/>
          <w:bCs/>
          <w:sz w:val="24"/>
          <w:szCs w:val="24"/>
        </w:rPr>
        <w:t>烘干：</w:t>
      </w:r>
      <w:r>
        <w:rPr>
          <w:sz w:val="24"/>
          <w:szCs w:val="24"/>
        </w:rPr>
        <w:t>本项目烘干采用一体化全自动设备，分燃烧室及回转式干化炉。首先将天然气及空气按比例调节预混合后进入燃烧室燃烧，然后将燃烧产生的热烟气直接通过密闭管道送入干化炉对物料进行干化；干化炉配套有循环水冷装置对炉内烘干温度进行控制，使炉内维持约120℃的烘干温度；热烟气进入干化炉后与物料直接接触加热，使物料中水分被最大程度的蒸发。本次干化设备单批次物料干化时间约60min；工作量饱和时，设备连续干化量可达100t/d，干化后污泥含水率可控制在50%左右。烘干工段产生的大量水汽同天然气燃烧烟气（G2：SO</w:t>
      </w:r>
      <w:r>
        <w:rPr>
          <w:sz w:val="24"/>
          <w:szCs w:val="24"/>
          <w:vertAlign w:val="subscript"/>
        </w:rPr>
        <w:t>2</w:t>
      </w:r>
      <w:r>
        <w:rPr>
          <w:sz w:val="24"/>
          <w:szCs w:val="24"/>
        </w:rPr>
        <w:t>、NO</w:t>
      </w:r>
      <w:r>
        <w:rPr>
          <w:sz w:val="24"/>
          <w:szCs w:val="24"/>
          <w:vertAlign w:val="subscript"/>
        </w:rPr>
        <w:t>x</w:t>
      </w:r>
      <w:r>
        <w:rPr>
          <w:sz w:val="24"/>
          <w:szCs w:val="24"/>
        </w:rPr>
        <w:t>、烟尘）及烘干废气（G3：NH</w:t>
      </w:r>
      <w:r>
        <w:rPr>
          <w:sz w:val="24"/>
          <w:szCs w:val="24"/>
          <w:vertAlign w:val="subscript"/>
        </w:rPr>
        <w:t>3</w:t>
      </w:r>
      <w:r>
        <w:rPr>
          <w:sz w:val="24"/>
          <w:szCs w:val="24"/>
        </w:rPr>
        <w:t>、SO</w:t>
      </w:r>
      <w:r>
        <w:rPr>
          <w:sz w:val="24"/>
          <w:szCs w:val="24"/>
          <w:vertAlign w:val="subscript"/>
        </w:rPr>
        <w:t>2</w:t>
      </w:r>
      <w:r>
        <w:rPr>
          <w:sz w:val="24"/>
          <w:szCs w:val="24"/>
        </w:rPr>
        <w:t>、粉尘（含铜及其化合物、锡及其化合物、锌及其化合物））一并于干化炉顶部的出气口排出。</w:t>
      </w:r>
    </w:p>
    <w:p w14:paraId="7A7B32FA">
      <w:pPr>
        <w:tabs>
          <w:tab w:val="left" w:pos="2400"/>
        </w:tabs>
        <w:spacing w:line="360" w:lineRule="auto"/>
        <w:ind w:firstLine="482" w:firstLineChars="200"/>
        <w:rPr>
          <w:sz w:val="24"/>
          <w:szCs w:val="24"/>
        </w:rPr>
      </w:pPr>
      <w:r>
        <w:rPr>
          <w:b/>
          <w:bCs/>
          <w:sz w:val="24"/>
          <w:szCs w:val="24"/>
        </w:rPr>
        <w:t>出料：</w:t>
      </w:r>
      <w:r>
        <w:rPr>
          <w:sz w:val="24"/>
          <w:szCs w:val="24"/>
        </w:rPr>
        <w:t>烘干后的含铜污泥送至出料口持续出料。烘干后含铜污泥温度高达80℃左右，不宜入袋储存，需对其进行降温冷却处理。本项目通过输送带及密闭输料管对含铜污泥烘干料进行输送，密闭输料管内外壁间设置冷却水对含铜污泥进行间接冷却。含铜污泥于管内输送时，输料管带动物料不间断翻转，增大物料冷却面积，最大程度提高物料的冷却效率，落料时含铜污泥温度可控制在40℃左右。出料工段含铜污泥温度不高，不考虑臭气的产生；由于含铜污泥烘干料含水率较低，故物料通过重力落袋时会产生一定量粉尘（G4）（含铜及其化合物、锡及其化合物、锌及其化合物）。</w:t>
      </w:r>
    </w:p>
    <w:p w14:paraId="0A4DD240">
      <w:pPr>
        <w:tabs>
          <w:tab w:val="left" w:pos="2400"/>
        </w:tabs>
        <w:spacing w:line="360" w:lineRule="auto"/>
        <w:ind w:firstLine="480" w:firstLineChars="200"/>
        <w:rPr>
          <w:sz w:val="24"/>
          <w:szCs w:val="24"/>
        </w:rPr>
      </w:pPr>
      <w:r>
        <w:rPr>
          <w:sz w:val="24"/>
          <w:szCs w:val="24"/>
        </w:rPr>
        <w:t>减量化后的含铜污泥交由下游有资质单位进行后续处置利用。</w:t>
      </w:r>
    </w:p>
    <w:p w14:paraId="2A159391">
      <w:pPr>
        <w:pStyle w:val="2"/>
        <w:spacing w:before="0" w:after="0" w:line="500" w:lineRule="exact"/>
        <w:rPr>
          <w:sz w:val="32"/>
          <w:szCs w:val="32"/>
        </w:rPr>
      </w:pPr>
      <w:bookmarkStart w:id="35" w:name="_Toc491185136"/>
      <w:bookmarkStart w:id="36" w:name="_Toc25247"/>
      <w:bookmarkStart w:id="37" w:name="_Toc491184964"/>
      <w:r>
        <w:rPr>
          <w:sz w:val="32"/>
          <w:szCs w:val="32"/>
        </w:rPr>
        <w:t>1.7污染防治措施及防治效果</w:t>
      </w:r>
      <w:bookmarkEnd w:id="35"/>
      <w:bookmarkEnd w:id="36"/>
      <w:bookmarkEnd w:id="37"/>
    </w:p>
    <w:p w14:paraId="49D0741C">
      <w:pPr>
        <w:pStyle w:val="3"/>
        <w:spacing w:before="0" w:after="0" w:line="500" w:lineRule="exact"/>
        <w:rPr>
          <w:rFonts w:ascii="Times New Roman" w:hAnsi="Times New Roman" w:eastAsia="宋体"/>
          <w:sz w:val="30"/>
          <w:szCs w:val="30"/>
        </w:rPr>
      </w:pPr>
      <w:bookmarkStart w:id="38" w:name="_Toc18079"/>
      <w:r>
        <w:rPr>
          <w:rFonts w:ascii="Times New Roman" w:hAnsi="Times New Roman" w:eastAsia="宋体"/>
          <w:sz w:val="30"/>
          <w:szCs w:val="30"/>
        </w:rPr>
        <w:t>1.7.1废水产生情况及污染防治措施概述</w:t>
      </w:r>
      <w:bookmarkEnd w:id="38"/>
    </w:p>
    <w:p w14:paraId="3C61D0E6">
      <w:pPr>
        <w:spacing w:line="500" w:lineRule="exact"/>
        <w:ind w:firstLine="480" w:firstLineChars="200"/>
        <w:rPr>
          <w:bCs/>
          <w:kern w:val="0"/>
          <w:sz w:val="24"/>
          <w:szCs w:val="24"/>
        </w:rPr>
      </w:pPr>
      <w:r>
        <w:rPr>
          <w:bCs/>
          <w:kern w:val="0"/>
          <w:sz w:val="24"/>
          <w:szCs w:val="24"/>
        </w:rPr>
        <w:t>项目生活污水依托出租方厂内现有排水系统接管进常州市江边污水处理厂集中处理；含铜污泥烘干水汽冷凝水、喷淋塔废水及车间地面清洁废水经收集后进厂内新设的1套废水处理设施（中和+混凝沉淀+斜管沉淀+缺氧+MBR+保安过滤+RO反渗透+双效蒸发）处理，出水全部回用于本项目冷却塔及喷淋塔补水，不外排。</w:t>
      </w:r>
    </w:p>
    <w:p w14:paraId="78BEFAC0">
      <w:pPr>
        <w:pStyle w:val="3"/>
        <w:spacing w:before="0" w:after="0" w:line="500" w:lineRule="exact"/>
        <w:rPr>
          <w:rFonts w:ascii="Times New Roman" w:hAnsi="Times New Roman" w:eastAsia="宋体"/>
          <w:sz w:val="30"/>
          <w:szCs w:val="30"/>
        </w:rPr>
      </w:pPr>
      <w:bookmarkStart w:id="39" w:name="_Toc23130"/>
      <w:r>
        <w:rPr>
          <w:rFonts w:ascii="Times New Roman" w:hAnsi="Times New Roman" w:eastAsia="宋体"/>
          <w:sz w:val="30"/>
          <w:szCs w:val="30"/>
        </w:rPr>
        <w:t>1.7.2.废气产生及污染防治措施概述</w:t>
      </w:r>
      <w:bookmarkEnd w:id="39"/>
    </w:p>
    <w:p w14:paraId="74223BC3">
      <w:pPr>
        <w:spacing w:line="500" w:lineRule="exact"/>
        <w:ind w:firstLine="480" w:firstLineChars="200"/>
        <w:rPr>
          <w:sz w:val="24"/>
          <w:szCs w:val="22"/>
        </w:rPr>
      </w:pPr>
      <w:r>
        <w:rPr>
          <w:sz w:val="24"/>
          <w:szCs w:val="22"/>
        </w:rPr>
        <w:t>1.有组织废气污染防治措施及排放情况</w:t>
      </w:r>
    </w:p>
    <w:p w14:paraId="5C579385">
      <w:pPr>
        <w:spacing w:line="500" w:lineRule="exact"/>
        <w:ind w:firstLine="480" w:firstLineChars="200"/>
        <w:rPr>
          <w:bCs/>
          <w:sz w:val="24"/>
          <w:szCs w:val="24"/>
        </w:rPr>
      </w:pPr>
      <w:r>
        <w:rPr>
          <w:bCs/>
          <w:sz w:val="24"/>
          <w:szCs w:val="24"/>
        </w:rPr>
        <w:t>（1）天然气燃烧废气由干化炉排气口密闭管道捕集，依次通过1#旋风除尘器、1#列管冷凝器、1#碱喷淋塔、2#碱喷淋塔、除雾器及2#活性炭吸附装置进行处理，尾气通过新设的1根15m高排气筒（P1）排放。</w:t>
      </w:r>
    </w:p>
    <w:p w14:paraId="41DCD2D3">
      <w:pPr>
        <w:spacing w:line="500" w:lineRule="exact"/>
        <w:ind w:firstLine="480" w:firstLineChars="200"/>
        <w:rPr>
          <w:sz w:val="24"/>
          <w:szCs w:val="24"/>
        </w:rPr>
      </w:pPr>
      <w:r>
        <w:rPr>
          <w:bCs/>
          <w:sz w:val="24"/>
          <w:szCs w:val="24"/>
        </w:rPr>
        <w:t>（2）含铜污泥烘干料出料工段废气经捕集后与含铜污泥烘干工段废气一并进“1#旋风除尘器+列管冷凝器+1#碱喷淋塔+2#碱喷淋塔+除雾器+2#活性炭吸附装置”处理，尾气由15m高排气筒（P2）排放。</w:t>
      </w:r>
    </w:p>
    <w:p w14:paraId="277086B2">
      <w:pPr>
        <w:spacing w:line="500" w:lineRule="exact"/>
        <w:ind w:firstLine="480" w:firstLineChars="200"/>
        <w:rPr>
          <w:sz w:val="24"/>
          <w:szCs w:val="22"/>
        </w:rPr>
      </w:pPr>
      <w:r>
        <w:rPr>
          <w:sz w:val="24"/>
          <w:szCs w:val="22"/>
        </w:rPr>
        <w:t>2.无组织废气污染防治措施及排放情况</w:t>
      </w:r>
    </w:p>
    <w:p w14:paraId="74801062">
      <w:pPr>
        <w:spacing w:line="500" w:lineRule="exact"/>
        <w:ind w:firstLine="480" w:firstLineChars="200"/>
        <w:rPr>
          <w:bCs/>
          <w:sz w:val="24"/>
          <w:szCs w:val="24"/>
        </w:rPr>
      </w:pPr>
      <w:r>
        <w:rPr>
          <w:bCs/>
          <w:sz w:val="24"/>
          <w:szCs w:val="24"/>
        </w:rPr>
        <w:t>未捕集到的粉尘于生产车间自然沉降后无组织排放。</w:t>
      </w:r>
    </w:p>
    <w:p w14:paraId="7A17DBAA">
      <w:pPr>
        <w:pStyle w:val="3"/>
        <w:spacing w:before="0" w:after="0" w:line="500" w:lineRule="exact"/>
        <w:rPr>
          <w:rFonts w:ascii="Times New Roman" w:hAnsi="Times New Roman" w:eastAsia="宋体"/>
          <w:sz w:val="30"/>
          <w:szCs w:val="30"/>
        </w:rPr>
      </w:pPr>
      <w:bookmarkStart w:id="40" w:name="_Toc24485"/>
      <w:r>
        <w:rPr>
          <w:rFonts w:ascii="Times New Roman" w:hAnsi="Times New Roman" w:eastAsia="宋体"/>
          <w:sz w:val="30"/>
          <w:szCs w:val="30"/>
        </w:rPr>
        <w:t>1.7.3.噪声产生情况及污染防治措施概述</w:t>
      </w:r>
      <w:bookmarkEnd w:id="40"/>
    </w:p>
    <w:p w14:paraId="4689F032">
      <w:pPr>
        <w:spacing w:line="500" w:lineRule="exact"/>
        <w:ind w:firstLine="480" w:firstLineChars="200"/>
        <w:rPr>
          <w:bCs/>
          <w:kern w:val="0"/>
          <w:sz w:val="24"/>
          <w:szCs w:val="24"/>
        </w:rPr>
      </w:pPr>
      <w:r>
        <w:rPr>
          <w:bCs/>
          <w:kern w:val="0"/>
          <w:sz w:val="24"/>
          <w:szCs w:val="24"/>
        </w:rPr>
        <w:t>⑴按照《工业企业噪声控制设计规范》对生产厂房内主要噪声源合理布局：</w:t>
      </w:r>
    </w:p>
    <w:p w14:paraId="320D1040">
      <w:pPr>
        <w:spacing w:line="500" w:lineRule="exact"/>
        <w:ind w:firstLine="480" w:firstLineChars="200"/>
        <w:rPr>
          <w:bCs/>
          <w:kern w:val="0"/>
          <w:sz w:val="24"/>
          <w:szCs w:val="24"/>
        </w:rPr>
      </w:pPr>
      <w:r>
        <w:rPr>
          <w:bCs/>
          <w:kern w:val="0"/>
          <w:sz w:val="24"/>
          <w:szCs w:val="24"/>
        </w:rPr>
        <w:t>①高噪声与低噪声设备分开布置。</w:t>
      </w:r>
    </w:p>
    <w:p w14:paraId="7C47FA91">
      <w:pPr>
        <w:spacing w:line="500" w:lineRule="exact"/>
        <w:ind w:firstLine="480" w:firstLineChars="200"/>
        <w:rPr>
          <w:bCs/>
          <w:kern w:val="0"/>
          <w:sz w:val="24"/>
          <w:szCs w:val="24"/>
        </w:rPr>
      </w:pPr>
      <w:r>
        <w:rPr>
          <w:bCs/>
          <w:kern w:val="0"/>
          <w:sz w:val="24"/>
          <w:szCs w:val="24"/>
        </w:rPr>
        <w:t>②在主要噪声源设备及厂房周围，布置对噪声较不敏感的、有利于隔声的建筑物、构筑物，如辅助车间、仓库、料场、堆场等。</w:t>
      </w:r>
    </w:p>
    <w:p w14:paraId="4B1D1B8D">
      <w:pPr>
        <w:spacing w:line="500" w:lineRule="exact"/>
        <w:ind w:firstLine="480" w:firstLineChars="200"/>
        <w:rPr>
          <w:bCs/>
          <w:kern w:val="0"/>
          <w:sz w:val="24"/>
          <w:szCs w:val="24"/>
        </w:rPr>
      </w:pPr>
      <w:r>
        <w:rPr>
          <w:bCs/>
          <w:kern w:val="0"/>
          <w:sz w:val="24"/>
          <w:szCs w:val="24"/>
        </w:rPr>
        <w:t>③在满足工艺流程要求的前提下，高噪声设备相对集中，并尽量布置在厂房的一隅。</w:t>
      </w:r>
    </w:p>
    <w:p w14:paraId="57FA77E8">
      <w:pPr>
        <w:spacing w:line="500" w:lineRule="exact"/>
        <w:ind w:firstLine="480" w:firstLineChars="200"/>
        <w:rPr>
          <w:bCs/>
          <w:kern w:val="0"/>
          <w:sz w:val="24"/>
          <w:szCs w:val="24"/>
        </w:rPr>
      </w:pPr>
      <w:r>
        <w:rPr>
          <w:bCs/>
          <w:kern w:val="0"/>
          <w:sz w:val="24"/>
          <w:szCs w:val="24"/>
        </w:rPr>
        <w:t>④有强烈振动的设备，不布置在楼板或平台上。</w:t>
      </w:r>
    </w:p>
    <w:p w14:paraId="4940F32E">
      <w:pPr>
        <w:spacing w:line="500" w:lineRule="exact"/>
        <w:ind w:firstLine="480" w:firstLineChars="200"/>
        <w:rPr>
          <w:bCs/>
          <w:kern w:val="0"/>
          <w:sz w:val="24"/>
          <w:szCs w:val="24"/>
        </w:rPr>
      </w:pPr>
      <w:r>
        <w:rPr>
          <w:bCs/>
          <w:kern w:val="0"/>
          <w:sz w:val="24"/>
          <w:szCs w:val="24"/>
        </w:rPr>
        <w:t>⑤设备布置时，考虑与其配用的噪声控制专用设备的安装和维修所需的空间。</w:t>
      </w:r>
    </w:p>
    <w:p w14:paraId="09B48430">
      <w:pPr>
        <w:spacing w:line="500" w:lineRule="exact"/>
        <w:ind w:firstLine="480" w:firstLineChars="200"/>
        <w:rPr>
          <w:bCs/>
          <w:kern w:val="0"/>
          <w:sz w:val="24"/>
          <w:szCs w:val="24"/>
        </w:rPr>
      </w:pPr>
      <w:r>
        <w:rPr>
          <w:bCs/>
          <w:kern w:val="0"/>
          <w:sz w:val="24"/>
          <w:szCs w:val="24"/>
        </w:rPr>
        <w:t>⑵选用噪声较低、振动较小的设备；在对主要噪声源设备选择时，应收集和比较同类型设备的噪声指标；对于噪声较大的设备，应从设备选型开始要求供货商提供符合要求的低噪声设备。</w:t>
      </w:r>
    </w:p>
    <w:p w14:paraId="3B654E24">
      <w:pPr>
        <w:spacing w:line="500" w:lineRule="exact"/>
        <w:ind w:firstLine="480" w:firstLineChars="200"/>
        <w:rPr>
          <w:bCs/>
          <w:kern w:val="0"/>
          <w:sz w:val="24"/>
          <w:szCs w:val="24"/>
        </w:rPr>
      </w:pPr>
      <w:r>
        <w:rPr>
          <w:bCs/>
          <w:kern w:val="0"/>
          <w:sz w:val="24"/>
          <w:szCs w:val="24"/>
        </w:rPr>
        <w:t>⑶主要噪声源布置、安装时，应尽量远离厂房边界。</w:t>
      </w:r>
    </w:p>
    <w:p w14:paraId="5D8572D3">
      <w:pPr>
        <w:spacing w:line="500" w:lineRule="exact"/>
        <w:ind w:firstLine="480" w:firstLineChars="200"/>
        <w:rPr>
          <w:bCs/>
          <w:kern w:val="0"/>
          <w:sz w:val="24"/>
          <w:szCs w:val="24"/>
        </w:rPr>
      </w:pPr>
      <w:r>
        <w:rPr>
          <w:bCs/>
          <w:kern w:val="0"/>
          <w:sz w:val="24"/>
          <w:szCs w:val="24"/>
        </w:rPr>
        <w:t>⑷风机采用安装消音器、设置隔声罩，减少噪声向外传播。</w:t>
      </w:r>
    </w:p>
    <w:p w14:paraId="067BB88E">
      <w:pPr>
        <w:spacing w:line="500" w:lineRule="exact"/>
        <w:ind w:firstLine="480" w:firstLineChars="200"/>
        <w:rPr>
          <w:bCs/>
          <w:kern w:val="0"/>
          <w:sz w:val="24"/>
          <w:szCs w:val="24"/>
        </w:rPr>
      </w:pPr>
      <w:r>
        <w:rPr>
          <w:bCs/>
          <w:kern w:val="0"/>
          <w:sz w:val="24"/>
          <w:szCs w:val="24"/>
        </w:rPr>
        <w:t>⑸在运行管理人员集中的控制室，其门窗等应进行隔声处理，使员工工作环境达到允许噪声标准；值班人员或检修人员应加强个体防护，配戴防噪耳塞、耳罩等。</w:t>
      </w:r>
    </w:p>
    <w:p w14:paraId="11625D4A">
      <w:pPr>
        <w:spacing w:line="500" w:lineRule="exact"/>
        <w:ind w:firstLine="480" w:firstLineChars="200"/>
        <w:rPr>
          <w:bCs/>
          <w:kern w:val="0"/>
          <w:sz w:val="24"/>
          <w:szCs w:val="24"/>
        </w:rPr>
      </w:pPr>
      <w:r>
        <w:rPr>
          <w:bCs/>
          <w:kern w:val="0"/>
          <w:sz w:val="24"/>
          <w:szCs w:val="24"/>
        </w:rPr>
        <w:t>此外，针对厂区运输车辆所产生的交通噪声，采取限制超载、定期保养车辆、厂区禁按喇叭等措施以降低交通噪声。</w:t>
      </w:r>
    </w:p>
    <w:p w14:paraId="503D1703">
      <w:pPr>
        <w:spacing w:line="500" w:lineRule="exact"/>
        <w:ind w:firstLine="480" w:firstLineChars="200"/>
        <w:rPr>
          <w:bCs/>
          <w:kern w:val="0"/>
          <w:sz w:val="24"/>
          <w:szCs w:val="24"/>
        </w:rPr>
      </w:pPr>
      <w:r>
        <w:rPr>
          <w:bCs/>
          <w:kern w:val="0"/>
          <w:sz w:val="24"/>
          <w:szCs w:val="24"/>
        </w:rPr>
        <w:t>对各类噪声源采取上述防治措施后，厂界噪声能满足《工业企业厂界环境噪声排放标准》（GB12348-2008）中3 类标准要求，即昼间≤65dB(A)，夜间≤55dB(A)。</w:t>
      </w:r>
    </w:p>
    <w:p w14:paraId="4E3472D0">
      <w:pPr>
        <w:pStyle w:val="3"/>
        <w:spacing w:before="0" w:after="0" w:line="500" w:lineRule="exact"/>
        <w:rPr>
          <w:rFonts w:ascii="Times New Roman" w:hAnsi="Times New Roman" w:eastAsia="宋体"/>
          <w:sz w:val="30"/>
          <w:szCs w:val="30"/>
        </w:rPr>
      </w:pPr>
      <w:bookmarkStart w:id="41" w:name="_Toc20288"/>
      <w:r>
        <w:rPr>
          <w:rFonts w:ascii="Times New Roman" w:hAnsi="Times New Roman" w:eastAsia="宋体"/>
          <w:sz w:val="30"/>
          <w:szCs w:val="30"/>
        </w:rPr>
        <w:t>1.7.4.固废产生情况及污染防治措施概述</w:t>
      </w:r>
      <w:bookmarkEnd w:id="41"/>
    </w:p>
    <w:p w14:paraId="14D9E538">
      <w:pPr>
        <w:pStyle w:val="12"/>
        <w:adjustRightInd w:val="0"/>
        <w:snapToGrid w:val="0"/>
        <w:spacing w:line="500" w:lineRule="exact"/>
        <w:ind w:left="0" w:leftChars="0"/>
        <w:rPr>
          <w:bCs/>
          <w:kern w:val="0"/>
          <w:szCs w:val="24"/>
        </w:rPr>
      </w:pPr>
      <w:r>
        <w:rPr>
          <w:szCs w:val="24"/>
        </w:rPr>
        <w:t>本项目生产过程产生的固废主要包括废活性炭、废吨袋、废布袋、含铜污泥烘干料、废水处理污泥、蒸发浓缩液及生活垃圾。固废处置应遵循“资源化、减量化、无害化”的原则，对固废进行分类处置。废活性炭、废吨袋、废布袋、废水处理污泥、蒸发浓缩液暂存于厂内次生危废暂存间，定期委托有资质单位处置；含铜污泥烘干料暂存于厂内单独设置的含铜污泥烘干料堆场，亦定期委托有资质单位处置；员工生活垃圾收集后由当地环卫部门清运处理。</w:t>
      </w:r>
    </w:p>
    <w:p w14:paraId="09BF46F4">
      <w:pPr>
        <w:pStyle w:val="3"/>
        <w:spacing w:before="0" w:after="0" w:line="500" w:lineRule="exact"/>
        <w:rPr>
          <w:rFonts w:ascii="Times New Roman" w:hAnsi="Times New Roman" w:eastAsia="宋体"/>
          <w:sz w:val="30"/>
          <w:szCs w:val="30"/>
        </w:rPr>
      </w:pPr>
      <w:bookmarkStart w:id="42" w:name="_Toc32552"/>
      <w:r>
        <w:rPr>
          <w:rFonts w:ascii="Times New Roman" w:hAnsi="Times New Roman" w:eastAsia="宋体"/>
          <w:sz w:val="30"/>
          <w:szCs w:val="30"/>
        </w:rPr>
        <w:t>1.7.5污染防治效果（监测数据）</w:t>
      </w:r>
      <w:bookmarkEnd w:id="42"/>
    </w:p>
    <w:p w14:paraId="7DC831F1">
      <w:pPr>
        <w:pStyle w:val="14"/>
        <w:spacing w:after="0" w:line="500" w:lineRule="exact"/>
        <w:ind w:left="0" w:leftChars="0" w:firstLine="480"/>
        <w:rPr>
          <w:kern w:val="0"/>
          <w:sz w:val="24"/>
          <w:szCs w:val="24"/>
        </w:rPr>
      </w:pPr>
      <w:r>
        <w:rPr>
          <w:kern w:val="0"/>
          <w:sz w:val="24"/>
          <w:szCs w:val="24"/>
        </w:rPr>
        <w:t>我公司与江苏久诚检验检测有限公司签订了厂区监测服务合同，对厂区废气、噪声和废水进行实时监测，如发现不良情况，及时采取措施加以防范与处理，以防止污染事故的发生。</w:t>
      </w:r>
    </w:p>
    <w:p w14:paraId="75D12236">
      <w:pPr>
        <w:pStyle w:val="4"/>
        <w:rPr>
          <w:sz w:val="28"/>
          <w:szCs w:val="28"/>
        </w:rPr>
      </w:pPr>
      <w:r>
        <w:rPr>
          <w:sz w:val="28"/>
          <w:szCs w:val="28"/>
        </w:rPr>
        <w:t>1.江苏久诚检验检测有限公司资质证明</w:t>
      </w:r>
    </w:p>
    <w:p w14:paraId="47853397">
      <w:pPr>
        <w:pStyle w:val="14"/>
        <w:spacing w:after="0" w:line="360" w:lineRule="auto"/>
        <w:ind w:left="0" w:leftChars="0" w:firstLine="0" w:firstLineChars="0"/>
        <w:jc w:val="center"/>
      </w:pPr>
      <w:r>
        <w:drawing>
          <wp:inline distT="0" distB="0" distL="114300" distR="114300">
            <wp:extent cx="5300980" cy="3725545"/>
            <wp:effectExtent l="9525" t="9525" r="23495" b="177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300980" cy="3725545"/>
                    </a:xfrm>
                    <a:prstGeom prst="rect">
                      <a:avLst/>
                    </a:prstGeom>
                    <a:noFill/>
                    <a:ln>
                      <a:solidFill>
                        <a:schemeClr val="tx1"/>
                      </a:solidFill>
                    </a:ln>
                  </pic:spPr>
                </pic:pic>
              </a:graphicData>
            </a:graphic>
          </wp:inline>
        </w:drawing>
      </w:r>
      <w:r>
        <w:drawing>
          <wp:inline distT="0" distB="0" distL="114300" distR="114300">
            <wp:extent cx="3731895" cy="5310505"/>
            <wp:effectExtent l="9525" t="9525" r="13970" b="1143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7"/>
                    <a:stretch>
                      <a:fillRect/>
                    </a:stretch>
                  </pic:blipFill>
                  <pic:spPr>
                    <a:xfrm rot="16200000">
                      <a:off x="0" y="0"/>
                      <a:ext cx="3731895" cy="5310505"/>
                    </a:xfrm>
                    <a:prstGeom prst="rect">
                      <a:avLst/>
                    </a:prstGeom>
                    <a:noFill/>
                    <a:ln>
                      <a:solidFill>
                        <a:schemeClr val="tx1"/>
                      </a:solidFill>
                    </a:ln>
                  </pic:spPr>
                </pic:pic>
              </a:graphicData>
            </a:graphic>
          </wp:inline>
        </w:drawing>
      </w:r>
    </w:p>
    <w:p w14:paraId="7C3A1CB4">
      <w:r>
        <w:br w:type="page"/>
      </w:r>
    </w:p>
    <w:p w14:paraId="3BBA543C">
      <w:pPr>
        <w:pStyle w:val="4"/>
        <w:rPr>
          <w:sz w:val="28"/>
          <w:szCs w:val="28"/>
        </w:rPr>
      </w:pPr>
      <w:r>
        <w:rPr>
          <w:sz w:val="28"/>
          <w:szCs w:val="28"/>
        </w:rPr>
        <w:t>2.厂区环境监测合同</w:t>
      </w:r>
    </w:p>
    <w:p w14:paraId="2799D001">
      <w:pPr>
        <w:jc w:val="center"/>
        <w:rPr>
          <w:b/>
          <w:kern w:val="0"/>
          <w:sz w:val="24"/>
          <w:szCs w:val="24"/>
        </w:rPr>
      </w:pPr>
      <w:r>
        <w:drawing>
          <wp:inline distT="0" distB="0" distL="114300" distR="114300">
            <wp:extent cx="6060440" cy="4208145"/>
            <wp:effectExtent l="9525" t="9525" r="26035" b="1143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8"/>
                    <a:stretch>
                      <a:fillRect/>
                    </a:stretch>
                  </pic:blipFill>
                  <pic:spPr>
                    <a:xfrm>
                      <a:off x="0" y="0"/>
                      <a:ext cx="6060440" cy="4208145"/>
                    </a:xfrm>
                    <a:prstGeom prst="rect">
                      <a:avLst/>
                    </a:prstGeom>
                    <a:noFill/>
                    <a:ln>
                      <a:solidFill>
                        <a:schemeClr val="tx1"/>
                      </a:solidFill>
                    </a:ln>
                  </pic:spPr>
                </pic:pic>
              </a:graphicData>
            </a:graphic>
          </wp:inline>
        </w:drawing>
      </w:r>
    </w:p>
    <w:p w14:paraId="51234189">
      <w:pPr>
        <w:jc w:val="center"/>
        <w:rPr>
          <w:b/>
          <w:kern w:val="0"/>
          <w:sz w:val="24"/>
          <w:szCs w:val="24"/>
        </w:rPr>
      </w:pPr>
      <w:r>
        <w:drawing>
          <wp:inline distT="0" distB="0" distL="114300" distR="114300">
            <wp:extent cx="6037580" cy="4187825"/>
            <wp:effectExtent l="9525" t="9525" r="10795" b="1270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9"/>
                    <a:stretch>
                      <a:fillRect/>
                    </a:stretch>
                  </pic:blipFill>
                  <pic:spPr>
                    <a:xfrm>
                      <a:off x="0" y="0"/>
                      <a:ext cx="6037580" cy="4187825"/>
                    </a:xfrm>
                    <a:prstGeom prst="rect">
                      <a:avLst/>
                    </a:prstGeom>
                    <a:noFill/>
                    <a:ln>
                      <a:solidFill>
                        <a:schemeClr val="tx1"/>
                      </a:solidFill>
                    </a:ln>
                  </pic:spPr>
                </pic:pic>
              </a:graphicData>
            </a:graphic>
          </wp:inline>
        </w:drawing>
      </w:r>
      <w:r>
        <w:drawing>
          <wp:inline distT="0" distB="0" distL="114300" distR="114300">
            <wp:extent cx="6400800" cy="4448810"/>
            <wp:effectExtent l="9525" t="9525" r="9525" b="1841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0"/>
                    <a:stretch>
                      <a:fillRect/>
                    </a:stretch>
                  </pic:blipFill>
                  <pic:spPr>
                    <a:xfrm>
                      <a:off x="0" y="0"/>
                      <a:ext cx="6400800" cy="4448810"/>
                    </a:xfrm>
                    <a:prstGeom prst="rect">
                      <a:avLst/>
                    </a:prstGeom>
                    <a:noFill/>
                    <a:ln>
                      <a:solidFill>
                        <a:schemeClr val="tx1"/>
                      </a:solidFill>
                    </a:ln>
                  </pic:spPr>
                </pic:pic>
              </a:graphicData>
            </a:graphic>
          </wp:inline>
        </w:drawing>
      </w:r>
      <w:r>
        <w:drawing>
          <wp:inline distT="0" distB="0" distL="114300" distR="114300">
            <wp:extent cx="6405245" cy="4344670"/>
            <wp:effectExtent l="9525" t="9525" r="24130" b="273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6405245" cy="4344670"/>
                    </a:xfrm>
                    <a:prstGeom prst="rect">
                      <a:avLst/>
                    </a:prstGeom>
                    <a:noFill/>
                    <a:ln>
                      <a:solidFill>
                        <a:schemeClr val="tx1"/>
                      </a:solidFill>
                    </a:ln>
                  </pic:spPr>
                </pic:pic>
              </a:graphicData>
            </a:graphic>
          </wp:inline>
        </w:drawing>
      </w:r>
      <w:r>
        <w:drawing>
          <wp:inline distT="0" distB="0" distL="114300" distR="114300">
            <wp:extent cx="6219190" cy="4325620"/>
            <wp:effectExtent l="9525" t="9525" r="19685" b="2730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2"/>
                    <a:stretch>
                      <a:fillRect/>
                    </a:stretch>
                  </pic:blipFill>
                  <pic:spPr>
                    <a:xfrm>
                      <a:off x="0" y="0"/>
                      <a:ext cx="6219190" cy="4325620"/>
                    </a:xfrm>
                    <a:prstGeom prst="rect">
                      <a:avLst/>
                    </a:prstGeom>
                    <a:noFill/>
                    <a:ln>
                      <a:solidFill>
                        <a:schemeClr val="tx1"/>
                      </a:solidFill>
                    </a:ln>
                  </pic:spPr>
                </pic:pic>
              </a:graphicData>
            </a:graphic>
          </wp:inline>
        </w:drawing>
      </w:r>
      <w:r>
        <w:drawing>
          <wp:inline distT="0" distB="0" distL="114300" distR="114300">
            <wp:extent cx="6256655" cy="4328795"/>
            <wp:effectExtent l="9525" t="9525" r="20320" b="2413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13"/>
                    <a:stretch>
                      <a:fillRect/>
                    </a:stretch>
                  </pic:blipFill>
                  <pic:spPr>
                    <a:xfrm>
                      <a:off x="0" y="0"/>
                      <a:ext cx="6256655" cy="4328795"/>
                    </a:xfrm>
                    <a:prstGeom prst="rect">
                      <a:avLst/>
                    </a:prstGeom>
                    <a:noFill/>
                    <a:ln>
                      <a:solidFill>
                        <a:schemeClr val="tx1"/>
                      </a:solidFill>
                    </a:ln>
                  </pic:spPr>
                </pic:pic>
              </a:graphicData>
            </a:graphic>
          </wp:inline>
        </w:drawing>
      </w:r>
      <w:r>
        <w:drawing>
          <wp:inline distT="0" distB="0" distL="114300" distR="114300">
            <wp:extent cx="6300470" cy="4370705"/>
            <wp:effectExtent l="9525" t="9525" r="14605" b="2032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14"/>
                    <a:stretch>
                      <a:fillRect/>
                    </a:stretch>
                  </pic:blipFill>
                  <pic:spPr>
                    <a:xfrm>
                      <a:off x="0" y="0"/>
                      <a:ext cx="6300470" cy="4370705"/>
                    </a:xfrm>
                    <a:prstGeom prst="rect">
                      <a:avLst/>
                    </a:prstGeom>
                    <a:noFill/>
                    <a:ln>
                      <a:solidFill>
                        <a:schemeClr val="tx1"/>
                      </a:solidFill>
                    </a:ln>
                  </pic:spPr>
                </pic:pic>
              </a:graphicData>
            </a:graphic>
          </wp:inline>
        </w:drawing>
      </w:r>
      <w:r>
        <w:drawing>
          <wp:inline distT="0" distB="0" distL="114300" distR="114300">
            <wp:extent cx="6309995" cy="4180840"/>
            <wp:effectExtent l="9525" t="9525" r="24130" b="1968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5"/>
                    <a:stretch>
                      <a:fillRect/>
                    </a:stretch>
                  </pic:blipFill>
                  <pic:spPr>
                    <a:xfrm>
                      <a:off x="0" y="0"/>
                      <a:ext cx="6309995" cy="4180840"/>
                    </a:xfrm>
                    <a:prstGeom prst="rect">
                      <a:avLst/>
                    </a:prstGeom>
                    <a:noFill/>
                    <a:ln>
                      <a:solidFill>
                        <a:schemeClr val="tx1"/>
                      </a:solidFill>
                    </a:ln>
                  </pic:spPr>
                </pic:pic>
              </a:graphicData>
            </a:graphic>
          </wp:inline>
        </w:drawing>
      </w:r>
      <w:r>
        <w:drawing>
          <wp:inline distT="0" distB="0" distL="114300" distR="114300">
            <wp:extent cx="6239510" cy="4343400"/>
            <wp:effectExtent l="9525" t="9525" r="18415" b="9525"/>
            <wp:docPr id="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pic:cNvPicPr>
                      <a:picLocks noChangeAspect="1"/>
                    </pic:cNvPicPr>
                  </pic:nvPicPr>
                  <pic:blipFill>
                    <a:blip r:embed="rId16"/>
                    <a:stretch>
                      <a:fillRect/>
                    </a:stretch>
                  </pic:blipFill>
                  <pic:spPr>
                    <a:xfrm>
                      <a:off x="0" y="0"/>
                      <a:ext cx="6239510" cy="4343400"/>
                    </a:xfrm>
                    <a:prstGeom prst="rect">
                      <a:avLst/>
                    </a:prstGeom>
                    <a:noFill/>
                    <a:ln>
                      <a:solidFill>
                        <a:schemeClr val="tx1"/>
                      </a:solidFill>
                    </a:ln>
                  </pic:spPr>
                </pic:pic>
              </a:graphicData>
            </a:graphic>
          </wp:inline>
        </w:drawing>
      </w:r>
      <w:r>
        <w:drawing>
          <wp:inline distT="0" distB="0" distL="114300" distR="114300">
            <wp:extent cx="6253480" cy="4337685"/>
            <wp:effectExtent l="9525" t="9525" r="23495" b="15240"/>
            <wp:docPr id="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pic:cNvPicPr>
                      <a:picLocks noChangeAspect="1"/>
                    </pic:cNvPicPr>
                  </pic:nvPicPr>
                  <pic:blipFill>
                    <a:blip r:embed="rId17"/>
                    <a:stretch>
                      <a:fillRect/>
                    </a:stretch>
                  </pic:blipFill>
                  <pic:spPr>
                    <a:xfrm>
                      <a:off x="0" y="0"/>
                      <a:ext cx="6253480" cy="4337685"/>
                    </a:xfrm>
                    <a:prstGeom prst="rect">
                      <a:avLst/>
                    </a:prstGeom>
                    <a:noFill/>
                    <a:ln>
                      <a:solidFill>
                        <a:schemeClr val="tx1"/>
                      </a:solidFill>
                    </a:ln>
                  </pic:spPr>
                </pic:pic>
              </a:graphicData>
            </a:graphic>
          </wp:inline>
        </w:drawing>
      </w:r>
      <w:r>
        <w:drawing>
          <wp:inline distT="0" distB="0" distL="114300" distR="114300">
            <wp:extent cx="6214110" cy="4313555"/>
            <wp:effectExtent l="9525" t="9525" r="24765" b="20320"/>
            <wp:docPr id="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pic:cNvPicPr>
                      <a:picLocks noChangeAspect="1"/>
                    </pic:cNvPicPr>
                  </pic:nvPicPr>
                  <pic:blipFill>
                    <a:blip r:embed="rId18"/>
                    <a:stretch>
                      <a:fillRect/>
                    </a:stretch>
                  </pic:blipFill>
                  <pic:spPr>
                    <a:xfrm>
                      <a:off x="0" y="0"/>
                      <a:ext cx="6214110" cy="4313555"/>
                    </a:xfrm>
                    <a:prstGeom prst="rect">
                      <a:avLst/>
                    </a:prstGeom>
                    <a:noFill/>
                    <a:ln>
                      <a:solidFill>
                        <a:schemeClr val="tx1"/>
                      </a:solidFill>
                    </a:ln>
                  </pic:spPr>
                </pic:pic>
              </a:graphicData>
            </a:graphic>
          </wp:inline>
        </w:drawing>
      </w:r>
    </w:p>
    <w:p w14:paraId="0501AA89">
      <w:pPr>
        <w:rPr>
          <w:b/>
          <w:kern w:val="0"/>
          <w:sz w:val="24"/>
          <w:szCs w:val="24"/>
        </w:rPr>
      </w:pPr>
      <w:r>
        <w:rPr>
          <w:b/>
          <w:kern w:val="0"/>
          <w:sz w:val="24"/>
          <w:szCs w:val="24"/>
        </w:rPr>
        <w:br w:type="page"/>
      </w:r>
    </w:p>
    <w:p w14:paraId="55BDB830">
      <w:pPr>
        <w:pStyle w:val="4"/>
        <w:rPr>
          <w:sz w:val="28"/>
          <w:szCs w:val="28"/>
        </w:rPr>
      </w:pPr>
      <w:r>
        <w:rPr>
          <w:sz w:val="28"/>
          <w:szCs w:val="28"/>
        </w:rPr>
        <w:t>3.监测方案</w:t>
      </w:r>
    </w:p>
    <w:tbl>
      <w:tblPr>
        <w:tblStyle w:val="15"/>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25"/>
        <w:gridCol w:w="1900"/>
        <w:gridCol w:w="3507"/>
        <w:gridCol w:w="2112"/>
        <w:gridCol w:w="1213"/>
      </w:tblGrid>
      <w:tr w14:paraId="254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Align w:val="center"/>
          </w:tcPr>
          <w:p w14:paraId="6E1E4AF0">
            <w:pPr>
              <w:tabs>
                <w:tab w:val="left" w:pos="6840"/>
              </w:tabs>
              <w:spacing w:line="270" w:lineRule="exact"/>
              <w:jc w:val="center"/>
              <w:rPr>
                <w:szCs w:val="21"/>
              </w:rPr>
            </w:pPr>
            <w:r>
              <w:rPr>
                <w:szCs w:val="21"/>
              </w:rPr>
              <w:t>类别</w:t>
            </w:r>
          </w:p>
        </w:tc>
        <w:tc>
          <w:tcPr>
            <w:tcW w:w="1900" w:type="dxa"/>
            <w:vAlign w:val="center"/>
          </w:tcPr>
          <w:p w14:paraId="019F26DD">
            <w:pPr>
              <w:tabs>
                <w:tab w:val="left" w:pos="6840"/>
              </w:tabs>
              <w:spacing w:line="270" w:lineRule="exact"/>
              <w:jc w:val="center"/>
              <w:rPr>
                <w:szCs w:val="21"/>
              </w:rPr>
            </w:pPr>
            <w:r>
              <w:rPr>
                <w:szCs w:val="21"/>
              </w:rPr>
              <w:t>监测位置</w:t>
            </w:r>
          </w:p>
        </w:tc>
        <w:tc>
          <w:tcPr>
            <w:tcW w:w="3507" w:type="dxa"/>
            <w:vAlign w:val="center"/>
          </w:tcPr>
          <w:p w14:paraId="4575EEB6">
            <w:pPr>
              <w:tabs>
                <w:tab w:val="left" w:pos="6840"/>
              </w:tabs>
              <w:spacing w:line="270" w:lineRule="exact"/>
              <w:jc w:val="center"/>
              <w:rPr>
                <w:szCs w:val="21"/>
              </w:rPr>
            </w:pPr>
            <w:r>
              <w:rPr>
                <w:szCs w:val="21"/>
              </w:rPr>
              <w:t>监测项目</w:t>
            </w:r>
          </w:p>
        </w:tc>
        <w:tc>
          <w:tcPr>
            <w:tcW w:w="2112" w:type="dxa"/>
            <w:vAlign w:val="center"/>
          </w:tcPr>
          <w:p w14:paraId="7D4D00D2">
            <w:pPr>
              <w:tabs>
                <w:tab w:val="left" w:pos="6840"/>
              </w:tabs>
              <w:spacing w:line="270" w:lineRule="exact"/>
              <w:jc w:val="center"/>
              <w:rPr>
                <w:szCs w:val="21"/>
              </w:rPr>
            </w:pPr>
            <w:r>
              <w:rPr>
                <w:szCs w:val="21"/>
              </w:rPr>
              <w:t>监测频率</w:t>
            </w:r>
          </w:p>
        </w:tc>
        <w:tc>
          <w:tcPr>
            <w:tcW w:w="1213" w:type="dxa"/>
            <w:vAlign w:val="center"/>
          </w:tcPr>
          <w:p w14:paraId="6F935E86">
            <w:pPr>
              <w:tabs>
                <w:tab w:val="left" w:pos="6840"/>
              </w:tabs>
              <w:spacing w:line="270" w:lineRule="exact"/>
              <w:jc w:val="center"/>
              <w:rPr>
                <w:szCs w:val="21"/>
              </w:rPr>
            </w:pPr>
            <w:r>
              <w:rPr>
                <w:szCs w:val="21"/>
              </w:rPr>
              <w:t>监测单位</w:t>
            </w:r>
          </w:p>
        </w:tc>
      </w:tr>
      <w:tr w14:paraId="5485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Align w:val="center"/>
          </w:tcPr>
          <w:p w14:paraId="00DF399F">
            <w:pPr>
              <w:tabs>
                <w:tab w:val="left" w:pos="6840"/>
              </w:tabs>
              <w:spacing w:line="270" w:lineRule="exact"/>
              <w:jc w:val="center"/>
              <w:rPr>
                <w:szCs w:val="21"/>
              </w:rPr>
            </w:pPr>
            <w:r>
              <w:rPr>
                <w:szCs w:val="21"/>
              </w:rPr>
              <w:t>废水</w:t>
            </w:r>
          </w:p>
        </w:tc>
        <w:tc>
          <w:tcPr>
            <w:tcW w:w="1900" w:type="dxa"/>
            <w:vAlign w:val="center"/>
          </w:tcPr>
          <w:p w14:paraId="0724602C">
            <w:pPr>
              <w:tabs>
                <w:tab w:val="left" w:pos="6840"/>
              </w:tabs>
              <w:spacing w:line="270" w:lineRule="exact"/>
              <w:jc w:val="center"/>
              <w:rPr>
                <w:szCs w:val="21"/>
              </w:rPr>
            </w:pPr>
            <w:r>
              <w:rPr>
                <w:szCs w:val="21"/>
              </w:rPr>
              <w:t>污水接管总排口</w:t>
            </w:r>
          </w:p>
        </w:tc>
        <w:tc>
          <w:tcPr>
            <w:tcW w:w="3507" w:type="dxa"/>
            <w:vAlign w:val="center"/>
          </w:tcPr>
          <w:p w14:paraId="30EEC349">
            <w:pPr>
              <w:tabs>
                <w:tab w:val="left" w:pos="6840"/>
              </w:tabs>
              <w:spacing w:line="270" w:lineRule="exact"/>
              <w:jc w:val="center"/>
              <w:rPr>
                <w:szCs w:val="21"/>
              </w:rPr>
            </w:pPr>
            <w:r>
              <w:rPr>
                <w:color w:val="000000" w:themeColor="text1"/>
                <w:szCs w:val="21"/>
                <w14:textFill>
                  <w14:solidFill>
                    <w14:schemeClr w14:val="tx1"/>
                  </w14:solidFill>
                </w14:textFill>
              </w:rPr>
              <w:t>流量、PH值、悬浮物、五日生化需氧量、总氮、氨氮、总磷、化学需氧量</w:t>
            </w:r>
          </w:p>
        </w:tc>
        <w:tc>
          <w:tcPr>
            <w:tcW w:w="2112" w:type="dxa"/>
            <w:vAlign w:val="center"/>
          </w:tcPr>
          <w:p w14:paraId="4720746A">
            <w:pPr>
              <w:tabs>
                <w:tab w:val="left" w:pos="6840"/>
              </w:tabs>
              <w:spacing w:line="270" w:lineRule="exact"/>
              <w:jc w:val="center"/>
              <w:rPr>
                <w:szCs w:val="21"/>
              </w:rPr>
            </w:pPr>
            <w:r>
              <w:rPr>
                <w:szCs w:val="21"/>
              </w:rPr>
              <w:t>1次/季度</w:t>
            </w:r>
          </w:p>
        </w:tc>
        <w:tc>
          <w:tcPr>
            <w:tcW w:w="1213" w:type="dxa"/>
            <w:vMerge w:val="restart"/>
            <w:vAlign w:val="center"/>
          </w:tcPr>
          <w:p w14:paraId="3E0C4595">
            <w:pPr>
              <w:tabs>
                <w:tab w:val="left" w:pos="6840"/>
              </w:tabs>
              <w:spacing w:line="270" w:lineRule="exact"/>
              <w:jc w:val="center"/>
              <w:rPr>
                <w:szCs w:val="21"/>
              </w:rPr>
            </w:pPr>
            <w:r>
              <w:rPr>
                <w:szCs w:val="21"/>
              </w:rPr>
              <w:t>若自身不具备监测能力，应委托有资质的</w:t>
            </w:r>
            <w:r>
              <w:rPr>
                <w:rFonts w:hint="eastAsia"/>
                <w:szCs w:val="21"/>
                <w:lang w:val="en-US" w:eastAsia="zh-CN"/>
              </w:rPr>
              <w:t>环境</w:t>
            </w:r>
            <w:r>
              <w:rPr>
                <w:szCs w:val="21"/>
              </w:rPr>
              <w:t>监测</w:t>
            </w:r>
            <w:bookmarkStart w:id="45" w:name="_GoBack"/>
            <w:bookmarkEnd w:id="45"/>
            <w:r>
              <w:rPr>
                <w:szCs w:val="21"/>
              </w:rPr>
              <w:t>机构</w:t>
            </w:r>
          </w:p>
        </w:tc>
      </w:tr>
      <w:tr w14:paraId="60CA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Align w:val="center"/>
          </w:tcPr>
          <w:p w14:paraId="232529F9">
            <w:pPr>
              <w:tabs>
                <w:tab w:val="left" w:pos="6840"/>
              </w:tabs>
              <w:spacing w:line="270" w:lineRule="exact"/>
              <w:jc w:val="center"/>
              <w:rPr>
                <w:szCs w:val="21"/>
              </w:rPr>
            </w:pPr>
            <w:r>
              <w:rPr>
                <w:szCs w:val="21"/>
              </w:rPr>
              <w:t>雨水</w:t>
            </w:r>
          </w:p>
        </w:tc>
        <w:tc>
          <w:tcPr>
            <w:tcW w:w="1900" w:type="dxa"/>
            <w:vAlign w:val="center"/>
          </w:tcPr>
          <w:p w14:paraId="0609C9E2">
            <w:pPr>
              <w:tabs>
                <w:tab w:val="left" w:pos="6840"/>
              </w:tabs>
              <w:spacing w:line="270" w:lineRule="exact"/>
              <w:jc w:val="center"/>
              <w:rPr>
                <w:szCs w:val="21"/>
              </w:rPr>
            </w:pPr>
            <w:r>
              <w:rPr>
                <w:szCs w:val="21"/>
              </w:rPr>
              <w:t>雨水排口</w:t>
            </w:r>
          </w:p>
        </w:tc>
        <w:tc>
          <w:tcPr>
            <w:tcW w:w="3507" w:type="dxa"/>
            <w:vAlign w:val="center"/>
          </w:tcPr>
          <w:p w14:paraId="718C6565">
            <w:pPr>
              <w:tabs>
                <w:tab w:val="left" w:pos="6840"/>
              </w:tabs>
              <w:spacing w:line="270" w:lineRule="exact"/>
              <w:jc w:val="center"/>
              <w:rPr>
                <w:szCs w:val="21"/>
              </w:rPr>
            </w:pPr>
            <w:r>
              <w:rPr>
                <w:color w:val="000000" w:themeColor="text1"/>
                <w:szCs w:val="21"/>
                <w14:textFill>
                  <w14:solidFill>
                    <w14:schemeClr w14:val="tx1"/>
                  </w14:solidFill>
                </w14:textFill>
              </w:rPr>
              <w:t>悬浮物、化学需氧量</w:t>
            </w:r>
          </w:p>
        </w:tc>
        <w:tc>
          <w:tcPr>
            <w:tcW w:w="2112" w:type="dxa"/>
            <w:vAlign w:val="center"/>
          </w:tcPr>
          <w:p w14:paraId="0D38CCAC">
            <w:pPr>
              <w:spacing w:line="270" w:lineRule="exact"/>
              <w:jc w:val="center"/>
              <w:rPr>
                <w:szCs w:val="21"/>
              </w:rPr>
            </w:pPr>
            <w:r>
              <w:rPr>
                <w:szCs w:val="21"/>
              </w:rPr>
              <w:t>雨水排放口每月有流动水排放时开始监测，1次/月；如监测一年无异常情况，可放宽至每季度有流动水排放时开展一次监测</w:t>
            </w:r>
          </w:p>
        </w:tc>
        <w:tc>
          <w:tcPr>
            <w:tcW w:w="1213" w:type="dxa"/>
            <w:vMerge w:val="continue"/>
            <w:vAlign w:val="center"/>
          </w:tcPr>
          <w:p w14:paraId="3F67A3EF">
            <w:pPr>
              <w:tabs>
                <w:tab w:val="left" w:pos="6840"/>
              </w:tabs>
              <w:spacing w:line="270" w:lineRule="exact"/>
              <w:jc w:val="center"/>
              <w:rPr>
                <w:szCs w:val="21"/>
              </w:rPr>
            </w:pPr>
          </w:p>
        </w:tc>
      </w:tr>
      <w:tr w14:paraId="41C4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Merge w:val="restart"/>
            <w:vAlign w:val="center"/>
          </w:tcPr>
          <w:p w14:paraId="7F21233D">
            <w:pPr>
              <w:tabs>
                <w:tab w:val="left" w:pos="6840"/>
              </w:tabs>
              <w:spacing w:line="270" w:lineRule="exact"/>
              <w:jc w:val="center"/>
              <w:rPr>
                <w:szCs w:val="21"/>
              </w:rPr>
            </w:pPr>
            <w:r>
              <w:rPr>
                <w:szCs w:val="21"/>
              </w:rPr>
              <w:t>废气</w:t>
            </w:r>
          </w:p>
        </w:tc>
        <w:tc>
          <w:tcPr>
            <w:tcW w:w="1900" w:type="dxa"/>
            <w:vAlign w:val="center"/>
          </w:tcPr>
          <w:p w14:paraId="1E1B8F69">
            <w:pPr>
              <w:tabs>
                <w:tab w:val="left" w:pos="6840"/>
              </w:tabs>
              <w:spacing w:line="270" w:lineRule="exact"/>
              <w:jc w:val="center"/>
              <w:rPr>
                <w:szCs w:val="21"/>
              </w:rPr>
            </w:pPr>
            <w:r>
              <w:rPr>
                <w:szCs w:val="21"/>
              </w:rPr>
              <w:t>厂界</w:t>
            </w:r>
          </w:p>
        </w:tc>
        <w:tc>
          <w:tcPr>
            <w:tcW w:w="3507" w:type="dxa"/>
            <w:vAlign w:val="center"/>
          </w:tcPr>
          <w:p w14:paraId="597B24F0">
            <w:pPr>
              <w:tabs>
                <w:tab w:val="left" w:pos="6840"/>
              </w:tabs>
              <w:spacing w:line="270" w:lineRule="exact"/>
              <w:jc w:val="center"/>
              <w:rPr>
                <w:szCs w:val="21"/>
              </w:rPr>
            </w:pPr>
            <w:r>
              <w:rPr>
                <w:color w:val="000000" w:themeColor="text1"/>
                <w:szCs w:val="21"/>
                <w14:textFill>
                  <w14:solidFill>
                    <w14:schemeClr w14:val="tx1"/>
                  </w14:solidFill>
                </w14:textFill>
              </w:rPr>
              <w:t>铜及其化合物、锡及其化合物、锌及其化合物、颗粒物、非甲烷总烃、氨、臭气浓度</w:t>
            </w:r>
          </w:p>
        </w:tc>
        <w:tc>
          <w:tcPr>
            <w:tcW w:w="2112" w:type="dxa"/>
            <w:vAlign w:val="center"/>
          </w:tcPr>
          <w:p w14:paraId="16145C7E">
            <w:pPr>
              <w:spacing w:line="270" w:lineRule="exact"/>
              <w:jc w:val="center"/>
              <w:rPr>
                <w:szCs w:val="21"/>
              </w:rPr>
            </w:pPr>
            <w:r>
              <w:rPr>
                <w:szCs w:val="21"/>
              </w:rPr>
              <w:t>1次/半年</w:t>
            </w:r>
          </w:p>
        </w:tc>
        <w:tc>
          <w:tcPr>
            <w:tcW w:w="1213" w:type="dxa"/>
            <w:vMerge w:val="continue"/>
            <w:vAlign w:val="center"/>
          </w:tcPr>
          <w:p w14:paraId="6FDF6B61">
            <w:pPr>
              <w:tabs>
                <w:tab w:val="left" w:pos="6840"/>
              </w:tabs>
              <w:spacing w:line="270" w:lineRule="exact"/>
              <w:jc w:val="center"/>
              <w:rPr>
                <w:szCs w:val="21"/>
              </w:rPr>
            </w:pPr>
          </w:p>
        </w:tc>
      </w:tr>
      <w:tr w14:paraId="3C8C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Merge w:val="continue"/>
            <w:vAlign w:val="center"/>
          </w:tcPr>
          <w:p w14:paraId="73DF2CE9">
            <w:pPr>
              <w:tabs>
                <w:tab w:val="left" w:pos="6840"/>
              </w:tabs>
              <w:spacing w:line="270" w:lineRule="exact"/>
              <w:jc w:val="center"/>
              <w:rPr>
                <w:szCs w:val="21"/>
              </w:rPr>
            </w:pPr>
          </w:p>
        </w:tc>
        <w:tc>
          <w:tcPr>
            <w:tcW w:w="1900" w:type="dxa"/>
            <w:vAlign w:val="center"/>
          </w:tcPr>
          <w:p w14:paraId="36B10761">
            <w:pPr>
              <w:tabs>
                <w:tab w:val="left" w:pos="6840"/>
              </w:tabs>
              <w:spacing w:line="270" w:lineRule="exact"/>
              <w:jc w:val="center"/>
              <w:rPr>
                <w:szCs w:val="21"/>
              </w:rPr>
            </w:pPr>
            <w:r>
              <w:rPr>
                <w:szCs w:val="21"/>
              </w:rPr>
              <w:t>P1排气筒</w:t>
            </w:r>
          </w:p>
        </w:tc>
        <w:tc>
          <w:tcPr>
            <w:tcW w:w="3507" w:type="dxa"/>
            <w:vAlign w:val="center"/>
          </w:tcPr>
          <w:p w14:paraId="0A323728">
            <w:pPr>
              <w:tabs>
                <w:tab w:val="left" w:pos="6840"/>
              </w:tabs>
              <w:spacing w:line="270" w:lineRule="exact"/>
              <w:jc w:val="center"/>
              <w:rPr>
                <w:szCs w:val="21"/>
              </w:rPr>
            </w:pPr>
            <w:r>
              <w:rPr>
                <w:color w:val="000000" w:themeColor="text1"/>
                <w:szCs w:val="21"/>
                <w14:textFill>
                  <w14:solidFill>
                    <w14:schemeClr w14:val="tx1"/>
                  </w14:solidFill>
                </w14:textFill>
              </w:rPr>
              <w:t>臭气浓度、氨</w:t>
            </w:r>
          </w:p>
        </w:tc>
        <w:tc>
          <w:tcPr>
            <w:tcW w:w="2112" w:type="dxa"/>
            <w:vAlign w:val="center"/>
          </w:tcPr>
          <w:p w14:paraId="64CE4FA5">
            <w:pPr>
              <w:spacing w:line="270" w:lineRule="exact"/>
              <w:jc w:val="center"/>
              <w:rPr>
                <w:szCs w:val="21"/>
              </w:rPr>
            </w:pPr>
            <w:r>
              <w:rPr>
                <w:szCs w:val="21"/>
              </w:rPr>
              <w:t>1次/半年</w:t>
            </w:r>
          </w:p>
        </w:tc>
        <w:tc>
          <w:tcPr>
            <w:tcW w:w="1213" w:type="dxa"/>
            <w:vMerge w:val="continue"/>
            <w:vAlign w:val="center"/>
          </w:tcPr>
          <w:p w14:paraId="27FE9977">
            <w:pPr>
              <w:tabs>
                <w:tab w:val="left" w:pos="6840"/>
              </w:tabs>
              <w:spacing w:line="270" w:lineRule="exact"/>
              <w:jc w:val="center"/>
              <w:rPr>
                <w:szCs w:val="21"/>
              </w:rPr>
            </w:pPr>
          </w:p>
        </w:tc>
      </w:tr>
      <w:tr w14:paraId="6564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Merge w:val="continue"/>
            <w:vAlign w:val="center"/>
          </w:tcPr>
          <w:p w14:paraId="6F6A5305">
            <w:pPr>
              <w:tabs>
                <w:tab w:val="left" w:pos="6840"/>
              </w:tabs>
              <w:spacing w:line="270" w:lineRule="exact"/>
              <w:jc w:val="center"/>
              <w:rPr>
                <w:szCs w:val="21"/>
              </w:rPr>
            </w:pPr>
          </w:p>
        </w:tc>
        <w:tc>
          <w:tcPr>
            <w:tcW w:w="1900" w:type="dxa"/>
            <w:vAlign w:val="center"/>
          </w:tcPr>
          <w:p w14:paraId="7F081DD0">
            <w:pPr>
              <w:tabs>
                <w:tab w:val="left" w:pos="6840"/>
              </w:tabs>
              <w:spacing w:line="270" w:lineRule="exact"/>
              <w:jc w:val="center"/>
              <w:rPr>
                <w:szCs w:val="21"/>
              </w:rPr>
            </w:pPr>
            <w:r>
              <w:rPr>
                <w:szCs w:val="21"/>
              </w:rPr>
              <w:t>P2排气筒</w:t>
            </w:r>
          </w:p>
        </w:tc>
        <w:tc>
          <w:tcPr>
            <w:tcW w:w="3507" w:type="dxa"/>
            <w:vAlign w:val="center"/>
          </w:tcPr>
          <w:p w14:paraId="4D3ABEA3">
            <w:pPr>
              <w:tabs>
                <w:tab w:val="left" w:pos="6840"/>
              </w:tabs>
              <w:spacing w:line="270" w:lineRule="exact"/>
              <w:jc w:val="center"/>
              <w:rPr>
                <w:szCs w:val="21"/>
              </w:rPr>
            </w:pPr>
            <w:r>
              <w:rPr>
                <w:color w:val="000000" w:themeColor="text1"/>
                <w:szCs w:val="21"/>
                <w14:textFill>
                  <w14:solidFill>
                    <w14:schemeClr w14:val="tx1"/>
                  </w14:solidFill>
                </w14:textFill>
              </w:rPr>
              <w:t>铜及其化合物、锡及其化合物、锌及其化合物、低浓度颗粒物、非甲烷总烃、二氧化硫、氮氧化物</w:t>
            </w:r>
          </w:p>
        </w:tc>
        <w:tc>
          <w:tcPr>
            <w:tcW w:w="2112" w:type="dxa"/>
            <w:vAlign w:val="center"/>
          </w:tcPr>
          <w:p w14:paraId="48E6D709">
            <w:pPr>
              <w:spacing w:line="270" w:lineRule="exact"/>
              <w:jc w:val="center"/>
              <w:rPr>
                <w:szCs w:val="21"/>
              </w:rPr>
            </w:pPr>
            <w:r>
              <w:rPr>
                <w:szCs w:val="21"/>
              </w:rPr>
              <w:t>1次/半年</w:t>
            </w:r>
          </w:p>
        </w:tc>
        <w:tc>
          <w:tcPr>
            <w:tcW w:w="1213" w:type="dxa"/>
            <w:vMerge w:val="continue"/>
            <w:vAlign w:val="center"/>
          </w:tcPr>
          <w:p w14:paraId="43EB4120">
            <w:pPr>
              <w:tabs>
                <w:tab w:val="left" w:pos="6840"/>
              </w:tabs>
              <w:spacing w:line="270" w:lineRule="exact"/>
              <w:jc w:val="center"/>
              <w:rPr>
                <w:szCs w:val="21"/>
              </w:rPr>
            </w:pPr>
          </w:p>
        </w:tc>
      </w:tr>
      <w:tr w14:paraId="03CC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Align w:val="center"/>
          </w:tcPr>
          <w:p w14:paraId="5831DEE1">
            <w:pPr>
              <w:tabs>
                <w:tab w:val="left" w:pos="6840"/>
              </w:tabs>
              <w:spacing w:line="270" w:lineRule="exact"/>
              <w:jc w:val="center"/>
              <w:rPr>
                <w:szCs w:val="21"/>
              </w:rPr>
            </w:pPr>
            <w:r>
              <w:rPr>
                <w:szCs w:val="21"/>
              </w:rPr>
              <w:t>噪声</w:t>
            </w:r>
          </w:p>
        </w:tc>
        <w:tc>
          <w:tcPr>
            <w:tcW w:w="1900" w:type="dxa"/>
            <w:vAlign w:val="center"/>
          </w:tcPr>
          <w:p w14:paraId="6D3B1586">
            <w:pPr>
              <w:tabs>
                <w:tab w:val="left" w:pos="6840"/>
              </w:tabs>
              <w:spacing w:line="270" w:lineRule="exact"/>
              <w:jc w:val="center"/>
              <w:rPr>
                <w:szCs w:val="21"/>
              </w:rPr>
            </w:pPr>
            <w:r>
              <w:rPr>
                <w:szCs w:val="21"/>
              </w:rPr>
              <w:t>出租方厂区东、南、西、北四个厂界</w:t>
            </w:r>
          </w:p>
        </w:tc>
        <w:tc>
          <w:tcPr>
            <w:tcW w:w="3507" w:type="dxa"/>
            <w:vAlign w:val="center"/>
          </w:tcPr>
          <w:p w14:paraId="6439248F">
            <w:pPr>
              <w:tabs>
                <w:tab w:val="left" w:pos="6840"/>
              </w:tabs>
              <w:spacing w:line="270" w:lineRule="exact"/>
              <w:jc w:val="center"/>
              <w:rPr>
                <w:szCs w:val="21"/>
              </w:rPr>
            </w:pPr>
            <w:r>
              <w:rPr>
                <w:szCs w:val="21"/>
              </w:rPr>
              <w:t>连续等效A声级</w:t>
            </w:r>
          </w:p>
        </w:tc>
        <w:tc>
          <w:tcPr>
            <w:tcW w:w="2112" w:type="dxa"/>
          </w:tcPr>
          <w:p w14:paraId="1AE7D3C3">
            <w:pPr>
              <w:spacing w:line="270" w:lineRule="exact"/>
              <w:jc w:val="center"/>
              <w:rPr>
                <w:szCs w:val="21"/>
              </w:rPr>
            </w:pPr>
            <w:r>
              <w:rPr>
                <w:szCs w:val="21"/>
              </w:rPr>
              <w:t>1次/季度</w:t>
            </w:r>
          </w:p>
          <w:p w14:paraId="34B3A594">
            <w:pPr>
              <w:spacing w:line="270" w:lineRule="exact"/>
              <w:jc w:val="center"/>
              <w:rPr>
                <w:szCs w:val="21"/>
              </w:rPr>
            </w:pPr>
            <w:r>
              <w:rPr>
                <w:szCs w:val="21"/>
              </w:rPr>
              <w:t>（昼夜各一次）</w:t>
            </w:r>
          </w:p>
        </w:tc>
        <w:tc>
          <w:tcPr>
            <w:tcW w:w="1213" w:type="dxa"/>
            <w:vMerge w:val="continue"/>
            <w:vAlign w:val="center"/>
          </w:tcPr>
          <w:p w14:paraId="37E020FB">
            <w:pPr>
              <w:tabs>
                <w:tab w:val="left" w:pos="6840"/>
              </w:tabs>
              <w:spacing w:line="270" w:lineRule="exact"/>
              <w:jc w:val="center"/>
              <w:rPr>
                <w:szCs w:val="21"/>
              </w:rPr>
            </w:pPr>
          </w:p>
        </w:tc>
      </w:tr>
      <w:tr w14:paraId="6EE6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Align w:val="center"/>
          </w:tcPr>
          <w:p w14:paraId="69698803">
            <w:pPr>
              <w:tabs>
                <w:tab w:val="left" w:pos="6840"/>
              </w:tabs>
              <w:spacing w:line="270" w:lineRule="exact"/>
              <w:jc w:val="center"/>
              <w:rPr>
                <w:szCs w:val="21"/>
              </w:rPr>
            </w:pPr>
            <w:r>
              <w:rPr>
                <w:szCs w:val="21"/>
              </w:rPr>
              <w:t>地下水</w:t>
            </w:r>
          </w:p>
        </w:tc>
        <w:tc>
          <w:tcPr>
            <w:tcW w:w="1900" w:type="dxa"/>
            <w:vAlign w:val="center"/>
          </w:tcPr>
          <w:p w14:paraId="65BC7CDB">
            <w:pPr>
              <w:tabs>
                <w:tab w:val="left" w:pos="6840"/>
              </w:tabs>
              <w:spacing w:line="270" w:lineRule="exact"/>
              <w:jc w:val="center"/>
              <w:rPr>
                <w:szCs w:val="21"/>
              </w:rPr>
            </w:pPr>
            <w:r>
              <w:rPr>
                <w:szCs w:val="21"/>
              </w:rPr>
              <w:t>厂区范围内以及上下游各1点的地下水监测井</w:t>
            </w:r>
          </w:p>
        </w:tc>
        <w:tc>
          <w:tcPr>
            <w:tcW w:w="3507" w:type="dxa"/>
            <w:vAlign w:val="center"/>
          </w:tcPr>
          <w:p w14:paraId="31F78A34">
            <w:pPr>
              <w:tabs>
                <w:tab w:val="left" w:pos="6840"/>
              </w:tabs>
              <w:spacing w:line="270" w:lineRule="exact"/>
              <w:jc w:val="center"/>
              <w:rPr>
                <w:szCs w:val="21"/>
              </w:rPr>
            </w:pPr>
            <w:r>
              <w:rPr>
                <w:color w:val="000000" w:themeColor="text1"/>
                <w:szCs w:val="21"/>
                <w14:textFill>
                  <w14:solidFill>
                    <w14:schemeClr w14:val="tx1"/>
                  </w14:solidFill>
                </w14:textFill>
              </w:rPr>
              <w:t>PH值、溶解性总固体、总硬度、高猛酸盐指数、粪大肠菌群、钠、汞、镉、六价铬、砷、铅、镍、铜、锡、锌、氨氮、亚硝酸盐、硝酸盐、氰化物、氯化物、硫酸盐、氯离子、氟化物、石油烃</w:t>
            </w:r>
          </w:p>
        </w:tc>
        <w:tc>
          <w:tcPr>
            <w:tcW w:w="2112" w:type="dxa"/>
            <w:vAlign w:val="center"/>
          </w:tcPr>
          <w:p w14:paraId="31EF85B9">
            <w:pPr>
              <w:spacing w:line="270" w:lineRule="exact"/>
              <w:jc w:val="center"/>
              <w:rPr>
                <w:szCs w:val="21"/>
              </w:rPr>
            </w:pPr>
            <w:r>
              <w:rPr>
                <w:szCs w:val="21"/>
              </w:rPr>
              <w:t>1次/年</w:t>
            </w:r>
          </w:p>
        </w:tc>
        <w:tc>
          <w:tcPr>
            <w:tcW w:w="1213" w:type="dxa"/>
            <w:vMerge w:val="continue"/>
            <w:vAlign w:val="center"/>
          </w:tcPr>
          <w:p w14:paraId="36B961D5">
            <w:pPr>
              <w:tabs>
                <w:tab w:val="left" w:pos="6840"/>
              </w:tabs>
              <w:spacing w:line="270" w:lineRule="exact"/>
              <w:jc w:val="center"/>
              <w:rPr>
                <w:szCs w:val="21"/>
              </w:rPr>
            </w:pPr>
          </w:p>
        </w:tc>
      </w:tr>
      <w:tr w14:paraId="078D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vAlign w:val="center"/>
          </w:tcPr>
          <w:p w14:paraId="11A74084">
            <w:pPr>
              <w:tabs>
                <w:tab w:val="left" w:pos="6840"/>
              </w:tabs>
              <w:spacing w:line="270" w:lineRule="exact"/>
              <w:jc w:val="center"/>
              <w:rPr>
                <w:szCs w:val="21"/>
              </w:rPr>
            </w:pPr>
            <w:r>
              <w:rPr>
                <w:szCs w:val="21"/>
              </w:rPr>
              <w:t>土壤</w:t>
            </w:r>
          </w:p>
        </w:tc>
        <w:tc>
          <w:tcPr>
            <w:tcW w:w="1900" w:type="dxa"/>
            <w:vAlign w:val="center"/>
          </w:tcPr>
          <w:p w14:paraId="42D05DBE">
            <w:pPr>
              <w:tabs>
                <w:tab w:val="left" w:pos="6840"/>
              </w:tabs>
              <w:spacing w:line="270" w:lineRule="exact"/>
              <w:jc w:val="center"/>
              <w:rPr>
                <w:szCs w:val="21"/>
              </w:rPr>
            </w:pPr>
            <w:r>
              <w:rPr>
                <w:szCs w:val="21"/>
              </w:rPr>
              <w:t>厂区</w:t>
            </w:r>
          </w:p>
        </w:tc>
        <w:tc>
          <w:tcPr>
            <w:tcW w:w="3507" w:type="dxa"/>
            <w:vAlign w:val="center"/>
          </w:tcPr>
          <w:p w14:paraId="28A79833">
            <w:pPr>
              <w:tabs>
                <w:tab w:val="left" w:pos="6840"/>
              </w:tabs>
              <w:spacing w:line="270" w:lineRule="exact"/>
              <w:jc w:val="center"/>
              <w:rPr>
                <w:szCs w:val="21"/>
              </w:rPr>
            </w:pPr>
            <w:r>
              <w:rPr>
                <w:color w:val="000000" w:themeColor="text1"/>
                <w:szCs w:val="21"/>
                <w14:textFill>
                  <w14:solidFill>
                    <w14:schemeClr w14:val="tx1"/>
                  </w14:solidFill>
                </w14:textFill>
              </w:rPr>
              <w:t>PH值、总汞、总镉、六价铬、总砷、总铅、总镍、总铜、总锡、2-氯酚、一氯甲烷、二氯甲烷、三氯甲烷、四氯甲烷（四氯化碳）、1，1-二氯乙烷、1，2-二氯乙烷、1，1，1-三氯乙烷、1，1，2-三氯乙烷、1，1，2，2-四氯乙烷、1，2-二氯丙烷、氯乙烯、1，1-二氯乙烯1，2-二氯乙烯、三氯乙烯、四氯乙烯、苯、甲苯、乙苯、邻二甲苯、对二甲苯、间二甲苯、氯苯、1，2-二氯苯1，4-二氯苯、硝基苯类、苯乙烯、苯并[a]芘、茚[1，2，3-cd]芘、苯并[a]蒽、二苯并（a，h）蒽、苯并[b]荧蒽、苯并[k]荧蒽、萘、苯胺类、石油烃</w:t>
            </w:r>
          </w:p>
        </w:tc>
        <w:tc>
          <w:tcPr>
            <w:tcW w:w="2112" w:type="dxa"/>
            <w:vAlign w:val="center"/>
          </w:tcPr>
          <w:p w14:paraId="68595F5D">
            <w:pPr>
              <w:spacing w:line="270" w:lineRule="exact"/>
              <w:jc w:val="center"/>
              <w:rPr>
                <w:szCs w:val="21"/>
              </w:rPr>
            </w:pPr>
            <w:r>
              <w:rPr>
                <w:szCs w:val="21"/>
              </w:rPr>
              <w:t>1次/2年</w:t>
            </w:r>
          </w:p>
        </w:tc>
        <w:tc>
          <w:tcPr>
            <w:tcW w:w="1213" w:type="dxa"/>
            <w:vMerge w:val="continue"/>
            <w:vAlign w:val="center"/>
          </w:tcPr>
          <w:p w14:paraId="105A1EF8">
            <w:pPr>
              <w:tabs>
                <w:tab w:val="left" w:pos="6840"/>
              </w:tabs>
              <w:spacing w:line="270" w:lineRule="exact"/>
              <w:jc w:val="center"/>
              <w:rPr>
                <w:szCs w:val="21"/>
              </w:rPr>
            </w:pPr>
          </w:p>
        </w:tc>
      </w:tr>
    </w:tbl>
    <w:p w14:paraId="31983A3F">
      <w:pPr>
        <w:spacing w:line="360" w:lineRule="auto"/>
        <w:ind w:firstLine="562" w:firstLineChars="200"/>
        <w:rPr>
          <w:b/>
          <w:kern w:val="0"/>
          <w:sz w:val="28"/>
          <w:szCs w:val="28"/>
        </w:rPr>
      </w:pPr>
      <w:bookmarkStart w:id="43" w:name="_Toc491184965"/>
      <w:bookmarkStart w:id="44" w:name="_Toc491185137"/>
    </w:p>
    <w:p w14:paraId="0AFA77DA">
      <w:pPr>
        <w:pStyle w:val="4"/>
        <w:rPr>
          <w:b w:val="0"/>
          <w:kern w:val="0"/>
          <w:sz w:val="28"/>
          <w:szCs w:val="24"/>
        </w:rPr>
      </w:pPr>
      <w:r>
        <w:rPr>
          <w:sz w:val="28"/>
          <w:szCs w:val="28"/>
        </w:rPr>
        <w:t>4.</w:t>
      </w:r>
      <w:r>
        <w:t xml:space="preserve"> </w:t>
      </w:r>
      <w:bookmarkEnd w:id="43"/>
      <w:bookmarkEnd w:id="44"/>
    </w:p>
    <w:p w14:paraId="0BFED5FC">
      <w:pPr>
        <w:jc w:val="center"/>
      </w:pPr>
      <w:r>
        <w:t>.</w:t>
      </w:r>
      <w:r>
        <w:drawing>
          <wp:inline distT="0" distB="0" distL="114300" distR="114300">
            <wp:extent cx="6231255" cy="6053455"/>
            <wp:effectExtent l="0" t="0" r="17145" b="4445"/>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19"/>
                    <a:stretch>
                      <a:fillRect/>
                    </a:stretch>
                  </pic:blipFill>
                  <pic:spPr>
                    <a:xfrm>
                      <a:off x="0" y="0"/>
                      <a:ext cx="6231255" cy="6053455"/>
                    </a:xfrm>
                    <a:prstGeom prst="rect">
                      <a:avLst/>
                    </a:prstGeom>
                    <a:noFill/>
                    <a:ln>
                      <a:noFill/>
                    </a:ln>
                  </pic:spPr>
                </pic:pic>
              </a:graphicData>
            </a:graphic>
          </wp:inline>
        </w:drawing>
      </w:r>
    </w:p>
    <w:p w14:paraId="5044EC2F">
      <w:pPr>
        <w:pStyle w:val="6"/>
        <w:jc w:val="center"/>
        <w:rPr>
          <w:rFonts w:ascii="Times New Roman"/>
          <w:b/>
          <w:bCs/>
        </w:rPr>
      </w:pPr>
      <w:r>
        <w:rPr>
          <w:rFonts w:ascii="Times New Roman"/>
          <w:b/>
          <w:bCs/>
        </w:rPr>
        <w:t>常州厚发环保科技有限公司厂区平面布置图</w:t>
      </w:r>
    </w:p>
    <w:p w14:paraId="44945D36">
      <w:pPr>
        <w:pStyle w:val="6"/>
        <w:jc w:val="center"/>
        <w:rPr>
          <w:rFonts w:ascii="Times New Roman"/>
          <w:b/>
          <w:bCs/>
        </w:rPr>
      </w:pPr>
    </w:p>
    <w:p w14:paraId="0A80DA20">
      <w:pPr>
        <w:pStyle w:val="6"/>
        <w:jc w:val="center"/>
        <w:rPr>
          <w:rFonts w:ascii="Times New Roman"/>
          <w:b/>
          <w:bCs/>
        </w:rPr>
      </w:pPr>
    </w:p>
    <w:p w14:paraId="3C413D4A">
      <w:pPr>
        <w:pStyle w:val="6"/>
        <w:jc w:val="center"/>
        <w:rPr>
          <w:rFonts w:ascii="Times New Roman"/>
          <w:b/>
          <w:bCs/>
        </w:rPr>
      </w:pPr>
    </w:p>
    <w:p w14:paraId="1F40072F">
      <w:pPr>
        <w:pStyle w:val="6"/>
        <w:jc w:val="center"/>
        <w:rPr>
          <w:rFonts w:ascii="Times New Roman"/>
          <w:b/>
          <w:bCs/>
        </w:rPr>
      </w:pPr>
    </w:p>
    <w:p w14:paraId="769D83BE">
      <w:pPr>
        <w:pStyle w:val="6"/>
        <w:jc w:val="center"/>
        <w:rPr>
          <w:rFonts w:ascii="Times New Roman"/>
          <w:b/>
          <w:bCs/>
        </w:rPr>
      </w:pPr>
    </w:p>
    <w:p w14:paraId="2CEDBF4B">
      <w:pPr>
        <w:pStyle w:val="6"/>
        <w:jc w:val="center"/>
        <w:rPr>
          <w:rFonts w:ascii="Times New Roman"/>
          <w:b/>
          <w:bCs/>
        </w:rPr>
      </w:pPr>
    </w:p>
    <w:p w14:paraId="6EEBE78B">
      <w:pPr>
        <w:pStyle w:val="6"/>
        <w:jc w:val="center"/>
        <w:rPr>
          <w:rFonts w:ascii="Times New Roman"/>
          <w:b/>
          <w:bCs/>
        </w:rPr>
      </w:pPr>
    </w:p>
    <w:p w14:paraId="41586F13">
      <w:pPr>
        <w:pStyle w:val="6"/>
        <w:jc w:val="center"/>
        <w:rPr>
          <w:rFonts w:ascii="Times New Roman"/>
          <w:b/>
          <w:bCs/>
        </w:rPr>
      </w:pPr>
    </w:p>
    <w:p w14:paraId="274C8407">
      <w:pPr>
        <w:pStyle w:val="6"/>
        <w:jc w:val="center"/>
        <w:rPr>
          <w:rFonts w:ascii="Times New Roman"/>
          <w:b/>
          <w:bCs/>
        </w:rPr>
      </w:pPr>
    </w:p>
    <w:p w14:paraId="31DA195D">
      <w:pPr>
        <w:pStyle w:val="6"/>
        <w:jc w:val="center"/>
        <w:rPr>
          <w:rFonts w:ascii="Times New Roman"/>
          <w:b/>
          <w:bCs/>
        </w:rPr>
      </w:pPr>
    </w:p>
    <w:p w14:paraId="08306BAC">
      <w:pPr>
        <w:pStyle w:val="6"/>
        <w:jc w:val="center"/>
        <w:rPr>
          <w:rFonts w:ascii="Times New Roman"/>
          <w:b/>
          <w:bCs/>
        </w:rPr>
      </w:pPr>
    </w:p>
    <w:sectPr>
      <w:footerReference r:id="rId3" w:type="default"/>
      <w:pgSz w:w="11906" w:h="16838"/>
      <w:pgMar w:top="1304" w:right="964" w:bottom="1304" w:left="964"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EE234">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54EC9">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5C54EC9">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4A22A9"/>
    <w:rsid w:val="00006459"/>
    <w:rsid w:val="00172A27"/>
    <w:rsid w:val="003B2E84"/>
    <w:rsid w:val="004D63CD"/>
    <w:rsid w:val="0054064D"/>
    <w:rsid w:val="006E0770"/>
    <w:rsid w:val="00741EF8"/>
    <w:rsid w:val="00B26780"/>
    <w:rsid w:val="00B5769C"/>
    <w:rsid w:val="00CC3B06"/>
    <w:rsid w:val="00E014B8"/>
    <w:rsid w:val="00F068D4"/>
    <w:rsid w:val="01AA51E6"/>
    <w:rsid w:val="02BE1FBF"/>
    <w:rsid w:val="0316573D"/>
    <w:rsid w:val="039F1872"/>
    <w:rsid w:val="049F60B0"/>
    <w:rsid w:val="04A60DCB"/>
    <w:rsid w:val="054736D4"/>
    <w:rsid w:val="0642014E"/>
    <w:rsid w:val="06451E28"/>
    <w:rsid w:val="06C6023E"/>
    <w:rsid w:val="06FD08ED"/>
    <w:rsid w:val="06FF002F"/>
    <w:rsid w:val="07820200"/>
    <w:rsid w:val="090B3BEE"/>
    <w:rsid w:val="09322AD0"/>
    <w:rsid w:val="0A157E82"/>
    <w:rsid w:val="0A160B66"/>
    <w:rsid w:val="0A422C8C"/>
    <w:rsid w:val="0BDA526F"/>
    <w:rsid w:val="0D016F7D"/>
    <w:rsid w:val="0D97366A"/>
    <w:rsid w:val="0DA21F12"/>
    <w:rsid w:val="0E3B0C23"/>
    <w:rsid w:val="0F541FD1"/>
    <w:rsid w:val="115169C3"/>
    <w:rsid w:val="118807CE"/>
    <w:rsid w:val="11C30A2B"/>
    <w:rsid w:val="12D03123"/>
    <w:rsid w:val="133D213D"/>
    <w:rsid w:val="136D65FF"/>
    <w:rsid w:val="13C04DB2"/>
    <w:rsid w:val="15721910"/>
    <w:rsid w:val="173C4828"/>
    <w:rsid w:val="17546FC6"/>
    <w:rsid w:val="1757424D"/>
    <w:rsid w:val="194A22A9"/>
    <w:rsid w:val="1AD53F6A"/>
    <w:rsid w:val="1BA20B87"/>
    <w:rsid w:val="1C944BDC"/>
    <w:rsid w:val="1E677D28"/>
    <w:rsid w:val="1F2C5C3D"/>
    <w:rsid w:val="1F496CDF"/>
    <w:rsid w:val="1F661295"/>
    <w:rsid w:val="20915B7B"/>
    <w:rsid w:val="232C4E1C"/>
    <w:rsid w:val="236D36F5"/>
    <w:rsid w:val="265134D3"/>
    <w:rsid w:val="2759730C"/>
    <w:rsid w:val="280C2140"/>
    <w:rsid w:val="28E81480"/>
    <w:rsid w:val="2A962E6D"/>
    <w:rsid w:val="2B063EE4"/>
    <w:rsid w:val="2B572391"/>
    <w:rsid w:val="2BF84E65"/>
    <w:rsid w:val="2DB67EF0"/>
    <w:rsid w:val="2E2A182C"/>
    <w:rsid w:val="2E6B6E8A"/>
    <w:rsid w:val="2E6D01D1"/>
    <w:rsid w:val="2ED92583"/>
    <w:rsid w:val="2F382D84"/>
    <w:rsid w:val="2F7865AA"/>
    <w:rsid w:val="2FE91C50"/>
    <w:rsid w:val="310030C2"/>
    <w:rsid w:val="31675321"/>
    <w:rsid w:val="319167F6"/>
    <w:rsid w:val="322C5675"/>
    <w:rsid w:val="324D0B11"/>
    <w:rsid w:val="327C0768"/>
    <w:rsid w:val="332271F6"/>
    <w:rsid w:val="336F0CCD"/>
    <w:rsid w:val="34097A65"/>
    <w:rsid w:val="352A4704"/>
    <w:rsid w:val="360C3622"/>
    <w:rsid w:val="36422436"/>
    <w:rsid w:val="36E0217E"/>
    <w:rsid w:val="38F02330"/>
    <w:rsid w:val="390E09FB"/>
    <w:rsid w:val="39405F0D"/>
    <w:rsid w:val="396C67F5"/>
    <w:rsid w:val="39AD3027"/>
    <w:rsid w:val="39E62997"/>
    <w:rsid w:val="39E714D5"/>
    <w:rsid w:val="3A3B4881"/>
    <w:rsid w:val="3A4C0BFA"/>
    <w:rsid w:val="3B6A4CDF"/>
    <w:rsid w:val="3B6F1BD4"/>
    <w:rsid w:val="3BE97B1E"/>
    <w:rsid w:val="3C493278"/>
    <w:rsid w:val="3C943972"/>
    <w:rsid w:val="3D3059DF"/>
    <w:rsid w:val="3DE15E46"/>
    <w:rsid w:val="3F3F1057"/>
    <w:rsid w:val="40CB05A0"/>
    <w:rsid w:val="419158DF"/>
    <w:rsid w:val="4234115F"/>
    <w:rsid w:val="43071F86"/>
    <w:rsid w:val="462D430B"/>
    <w:rsid w:val="469215AF"/>
    <w:rsid w:val="46990A35"/>
    <w:rsid w:val="469E22B7"/>
    <w:rsid w:val="471A671E"/>
    <w:rsid w:val="473F38E3"/>
    <w:rsid w:val="475F351A"/>
    <w:rsid w:val="49646682"/>
    <w:rsid w:val="4A61164D"/>
    <w:rsid w:val="4B6279BA"/>
    <w:rsid w:val="4CFB6302"/>
    <w:rsid w:val="4F77221C"/>
    <w:rsid w:val="50B02C64"/>
    <w:rsid w:val="50BB66C1"/>
    <w:rsid w:val="50FF2F43"/>
    <w:rsid w:val="511D4E7B"/>
    <w:rsid w:val="5170519D"/>
    <w:rsid w:val="51DE7573"/>
    <w:rsid w:val="52F2131D"/>
    <w:rsid w:val="53990623"/>
    <w:rsid w:val="55835FB2"/>
    <w:rsid w:val="55E572DD"/>
    <w:rsid w:val="565E627F"/>
    <w:rsid w:val="566B41C2"/>
    <w:rsid w:val="5718222E"/>
    <w:rsid w:val="579A7E30"/>
    <w:rsid w:val="592B61C1"/>
    <w:rsid w:val="59CF1352"/>
    <w:rsid w:val="59F708AF"/>
    <w:rsid w:val="5A023072"/>
    <w:rsid w:val="5A374D6F"/>
    <w:rsid w:val="5A4D5C6E"/>
    <w:rsid w:val="5BDA4E8E"/>
    <w:rsid w:val="5CB30896"/>
    <w:rsid w:val="5CDB5659"/>
    <w:rsid w:val="5D315719"/>
    <w:rsid w:val="5E5F76FD"/>
    <w:rsid w:val="5F5C70D4"/>
    <w:rsid w:val="600F1F3B"/>
    <w:rsid w:val="6138163B"/>
    <w:rsid w:val="637E74BD"/>
    <w:rsid w:val="63C65011"/>
    <w:rsid w:val="63C87CFC"/>
    <w:rsid w:val="63CD7F79"/>
    <w:rsid w:val="669523F7"/>
    <w:rsid w:val="66AE1635"/>
    <w:rsid w:val="66F15058"/>
    <w:rsid w:val="674C4D2A"/>
    <w:rsid w:val="676130C5"/>
    <w:rsid w:val="68723E09"/>
    <w:rsid w:val="68801EC8"/>
    <w:rsid w:val="68E94A7F"/>
    <w:rsid w:val="698D49A2"/>
    <w:rsid w:val="699121C1"/>
    <w:rsid w:val="6A6129A8"/>
    <w:rsid w:val="6A9C6F1F"/>
    <w:rsid w:val="6AF90019"/>
    <w:rsid w:val="6B1A627E"/>
    <w:rsid w:val="6C1A634D"/>
    <w:rsid w:val="6C407FD2"/>
    <w:rsid w:val="6C596777"/>
    <w:rsid w:val="6D3428C8"/>
    <w:rsid w:val="6D4F554A"/>
    <w:rsid w:val="6D535020"/>
    <w:rsid w:val="6D701786"/>
    <w:rsid w:val="6D775319"/>
    <w:rsid w:val="6DC628EE"/>
    <w:rsid w:val="6EC31B94"/>
    <w:rsid w:val="6EFB1657"/>
    <w:rsid w:val="6FE813ED"/>
    <w:rsid w:val="726C3119"/>
    <w:rsid w:val="72841377"/>
    <w:rsid w:val="73264767"/>
    <w:rsid w:val="75384FC9"/>
    <w:rsid w:val="759E6FFE"/>
    <w:rsid w:val="75A9488E"/>
    <w:rsid w:val="75E97795"/>
    <w:rsid w:val="762858C7"/>
    <w:rsid w:val="771510DE"/>
    <w:rsid w:val="77540528"/>
    <w:rsid w:val="77B07EDF"/>
    <w:rsid w:val="77E872FF"/>
    <w:rsid w:val="77F220EB"/>
    <w:rsid w:val="78076B16"/>
    <w:rsid w:val="780B249D"/>
    <w:rsid w:val="7898296F"/>
    <w:rsid w:val="78F201B2"/>
    <w:rsid w:val="791F5189"/>
    <w:rsid w:val="798F2E2B"/>
    <w:rsid w:val="7A865D79"/>
    <w:rsid w:val="7AAE35C7"/>
    <w:rsid w:val="7B404C78"/>
    <w:rsid w:val="7BF546E1"/>
    <w:rsid w:val="7C7F1BE6"/>
    <w:rsid w:val="7CF93D5D"/>
    <w:rsid w:val="7D7B2DDF"/>
    <w:rsid w:val="7DCE797F"/>
    <w:rsid w:val="7F7A529E"/>
    <w:rsid w:val="7F915712"/>
    <w:rsid w:val="7FD64B29"/>
    <w:rsid w:val="7FDD09A6"/>
    <w:rsid w:val="7FEB6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1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line="500" w:lineRule="exact"/>
      <w:outlineLvl w:val="2"/>
    </w:pPr>
    <w:rPr>
      <w:b/>
      <w:bCs/>
      <w:sz w:val="30"/>
      <w:szCs w:val="30"/>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6">
    <w:name w:val="Body Text"/>
    <w:basedOn w:val="1"/>
    <w:next w:val="1"/>
    <w:qFormat/>
    <w:uiPriority w:val="0"/>
    <w:pPr>
      <w:spacing w:line="240" w:lineRule="atLeast"/>
      <w:ind w:right="-154"/>
    </w:pPr>
    <w:rPr>
      <w:rFonts w:ascii="宋体"/>
      <w:sz w:val="24"/>
    </w:rPr>
  </w:style>
  <w:style w:type="paragraph" w:styleId="7">
    <w:name w:val="Body Text Indent"/>
    <w:basedOn w:val="1"/>
    <w:qFormat/>
    <w:uiPriority w:val="0"/>
    <w:pPr>
      <w:spacing w:after="120"/>
      <w:ind w:left="420" w:leftChars="200"/>
    </w:pPr>
  </w:style>
  <w:style w:type="paragraph" w:styleId="8">
    <w:name w:val="Balloon Text"/>
    <w:basedOn w:val="1"/>
    <w:link w:val="19"/>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pPr>
      <w:spacing w:before="120" w:after="120"/>
      <w:jc w:val="left"/>
    </w:pPr>
    <w:rPr>
      <w:rFonts w:ascii="等线" w:eastAsia="等线"/>
      <w:b/>
      <w:bCs/>
      <w:caps/>
      <w:sz w:val="20"/>
    </w:rPr>
  </w:style>
  <w:style w:type="paragraph" w:styleId="12">
    <w:name w:val="Body Text Indent 3"/>
    <w:basedOn w:val="1"/>
    <w:qFormat/>
    <w:uiPriority w:val="0"/>
    <w:pPr>
      <w:ind w:left="359" w:leftChars="171" w:firstLine="480" w:firstLineChars="200"/>
    </w:pPr>
    <w:rPr>
      <w:sz w:val="24"/>
    </w:rPr>
  </w:style>
  <w:style w:type="paragraph" w:styleId="13">
    <w:name w:val="toc 2"/>
    <w:basedOn w:val="1"/>
    <w:next w:val="1"/>
    <w:qFormat/>
    <w:uiPriority w:val="39"/>
    <w:pPr>
      <w:ind w:left="210"/>
      <w:jc w:val="left"/>
    </w:pPr>
    <w:rPr>
      <w:rFonts w:ascii="等线" w:eastAsia="等线"/>
      <w:smallCaps/>
      <w:sz w:val="20"/>
    </w:rPr>
  </w:style>
  <w:style w:type="paragraph" w:styleId="14">
    <w:name w:val="Body Text First Indent 2"/>
    <w:basedOn w:val="7"/>
    <w:qFormat/>
    <w:uiPriority w:val="0"/>
    <w:pPr>
      <w:ind w:firstLine="420" w:firstLineChars="200"/>
    </w:p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2 字符"/>
    <w:link w:val="3"/>
    <w:qFormat/>
    <w:uiPriority w:val="0"/>
    <w:rPr>
      <w:rFonts w:ascii="Arial" w:hAnsi="Arial" w:eastAsia="黑体"/>
      <w:b/>
      <w:bCs/>
      <w:sz w:val="32"/>
      <w:szCs w:val="32"/>
    </w:rPr>
  </w:style>
  <w:style w:type="character" w:customStyle="1" w:styleId="19">
    <w:name w:val="批注框文本 字符"/>
    <w:basedOn w:val="17"/>
    <w:link w:val="8"/>
    <w:qFormat/>
    <w:uiPriority w:val="0"/>
    <w:rPr>
      <w:kern w:val="2"/>
      <w:sz w:val="18"/>
      <w:szCs w:val="18"/>
    </w:rPr>
  </w:style>
  <w:style w:type="table" w:customStyle="1" w:styleId="20">
    <w:name w:val="三线表"/>
    <w:basedOn w:val="15"/>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CellMar>
        <w:left w:w="57" w:type="dxa"/>
        <w:right w:w="57" w:type="dxa"/>
      </w:tblCellMar>
    </w:tblPr>
    <w:trPr>
      <w:jc w:val="center"/>
    </w:trPr>
    <w:tcPr>
      <w:vAlign w:val="center"/>
    </w:tcPr>
  </w:style>
  <w:style w:type="paragraph" w:customStyle="1" w:styleId="2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12289;&#24037;&#20316;\1&#12289;&#21402;&#24503;\3&#12289;&#21402;&#21457;&#29615;&#20445;\&#21402;&#21457;-&#39318;&#27425;&#30003;&#39046;\2.&#27743;&#33487;&#30465;&#21361;&#38505;&#24223;&#29289;&#32463;&#33829;&#35768;&#21487;&#35777;&#30003;&#35831;&#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2.江苏省危险废物经营许可证申请书</Template>
  <Company>china</Company>
  <Pages>16</Pages>
  <Words>4528</Words>
  <Characters>4927</Characters>
  <Lines>38</Lines>
  <Paragraphs>10</Paragraphs>
  <TotalTime>12</TotalTime>
  <ScaleCrop>false</ScaleCrop>
  <LinksUpToDate>false</LinksUpToDate>
  <CharactersWithSpaces>5057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2024-11-27T01:19:00Z</dcterms:created>
  <dc:creator>厚德蒋建霞</dc:creator>
  <cp:lastModifiedBy>唐新红</cp:lastModifiedBy>
  <dcterms:modified xsi:type="dcterms:W3CDTF">2025-04-29T07:22:57Z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CCCBCF970C5B471E877C935663218045_13</vt:lpwstr>
  </property>
  <property fmtid="{D5CDD505-2E9C-101B-9397-08002B2CF9AE}" pid="4" name="KSOTemplateDocerSaveRecord">
    <vt:lpwstr>eyJoZGlkIjoiMmVkZGQ2ZmQ1ZDgwNGI3MDFhZmYxMDEzYmE2YTA2MzciLCJ1c2VySWQiOiIxNDkwMjI4MzgyIn0=</vt:lpwstr>
  </property>
</Properties>
</file>